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comment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Calibri" w:hAnsi="Calibri"/>
          <w:color w:val="000000"/>
          <w:sz w:val="24"/>
          <w:szCs w:val="24"/>
        </w:rPr>
      </w:pPr>
      <w:commentRangeStart w:id="0"/>
      <w:r>
        <w:rPr>
          <w:rFonts w:cs="Arial" w:ascii="Calibri" w:hAnsi="Calibri"/>
          <w:b/>
          <w:bCs/>
          <w:color w:val="000000" w:themeColor="text1"/>
          <w:sz w:val="24"/>
          <w:szCs w:val="24"/>
        </w:rPr>
        <w:t>MODELO DE TERMO DE CONTRATO</w:t>
      </w:r>
      <w:r>
        <w:rPr>
          <w:rFonts w:ascii="Calibri" w:hAnsi="Calibri"/>
          <w:color w:val="000000"/>
          <w:sz w:val="24"/>
          <w:szCs w:val="24"/>
        </w:rPr>
        <w:br/>
      </w:r>
      <w:r>
        <w:rPr>
          <w:rFonts w:cs="Arial" w:ascii="Calibri" w:hAnsi="Calibri"/>
          <w:b/>
          <w:bCs/>
          <w:color w:val="000000" w:themeColor="text1"/>
          <w:sz w:val="24"/>
          <w:szCs w:val="24"/>
        </w:rPr>
        <w:t>Lei nº 14.133, de 1º de abril de 2021</w:t>
      </w:r>
      <w:r>
        <w:rPr>
          <w:rFonts w:ascii="Calibri" w:hAnsi="Calibri"/>
          <w:color w:val="000000"/>
          <w:sz w:val="24"/>
          <w:szCs w:val="24"/>
        </w:rPr>
        <w:br/>
      </w:r>
      <w:r>
        <w:rPr>
          <w:rFonts w:cs="Arial" w:ascii="Calibri" w:hAnsi="Calibri"/>
          <w:b/>
          <w:bCs/>
          <w:color w:val="000000" w:themeColor="text1"/>
          <w:sz w:val="24"/>
          <w:szCs w:val="24"/>
        </w:rPr>
        <w:t>SERVIÇOS CONTÍNUOS COM REGIME DE DEDICAÇÃO EXCLUSIVA DE MÃO DE OBRA – LICITAÇÃO</w:t>
      </w:r>
      <w:commentRangeEnd w:id="0"/>
      <w:r>
        <w:commentReference w:id="0"/>
      </w:r>
      <w:r>
        <w:rPr>
          <w:rFonts w:cs="Arial" w:ascii="Calibri" w:hAnsi="Calibri"/>
          <w:b/>
          <w:bCs/>
          <w:color w:val="000000" w:themeColor="text1"/>
          <w:sz w:val="24"/>
          <w:szCs w:val="24"/>
        </w:rPr>
      </w:r>
    </w:p>
    <w:p>
      <w:pPr>
        <w:pStyle w:val="Normal"/>
        <w:spacing w:lineRule="auto" w:line="240" w:before="0" w:after="0"/>
        <w:contextualSpacing/>
        <w:jc w:val="center"/>
        <w:rPr>
          <w:rFonts w:ascii="Calibri" w:hAnsi="Calibri"/>
          <w:color w:val="000000"/>
          <w:sz w:val="24"/>
          <w:szCs w:val="24"/>
        </w:rPr>
      </w:pPr>
      <w:r>
        <w:drawing>
          <wp:anchor behindDoc="0" distT="0" distB="0" distL="114300" distR="114300" simplePos="0" locked="0" layoutInCell="1"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Calibri" w:ascii="Calibri" w:hAnsi="Calibri"/>
          <w:b/>
          <w:bCs/>
          <w:i w:val="false"/>
          <w:iCs w:val="false"/>
          <w:color w:val="000000"/>
          <w:sz w:val="24"/>
          <w:szCs w:val="24"/>
        </w:rPr>
        <w:t>M</w:t>
      </w:r>
      <w:r>
        <w:rPr>
          <w:rFonts w:cs="Calibri" w:ascii="Calibri" w:hAnsi="Calibri"/>
          <w:b/>
          <w:bCs/>
          <w:i w:val="false"/>
          <w:iCs w:val="false"/>
          <w:color w:val="000000"/>
          <w:sz w:val="24"/>
          <w:szCs w:val="24"/>
        </w:rPr>
        <w:t>ARINHA DO BRASIL</w:t>
      </w:r>
    </w:p>
    <w:p>
      <w:pPr>
        <w:pStyle w:val="Normal"/>
        <w:bidi w:val="0"/>
        <w:spacing w:lineRule="auto" w:line="240" w:before="0" w:after="0"/>
        <w:ind w:left="0" w:right="0" w:firstLine="567"/>
        <w:contextualSpacing/>
        <w:jc w:val="center"/>
        <w:rPr>
          <w:rFonts w:ascii="Calibri" w:hAnsi="Calibri"/>
          <w:color w:val="000000"/>
          <w:sz w:val="24"/>
          <w:szCs w:val="24"/>
        </w:rPr>
      </w:pPr>
      <w:r>
        <w:rPr>
          <w:rFonts w:cs="Arial" w:ascii="Calibri" w:hAnsi="Calibri"/>
          <w:b/>
          <w:bCs/>
          <w:i w:val="false"/>
          <w:iCs w:val="false"/>
          <w:color w:val="000000"/>
          <w:sz w:val="24"/>
          <w:szCs w:val="24"/>
        </w:rPr>
        <w:t>SERVIÇO DE VETERANOS E PENSIONISTAS DA MARINHA</w:t>
      </w:r>
    </w:p>
    <w:p>
      <w:pPr>
        <w:pStyle w:val="Normal"/>
        <w:bidi w:val="0"/>
        <w:spacing w:lineRule="auto" w:line="240" w:before="0" w:after="0"/>
        <w:ind w:left="0" w:right="0" w:firstLine="567"/>
        <w:contextualSpacing/>
        <w:jc w:val="center"/>
        <w:rPr>
          <w:rFonts w:ascii="Calibri" w:hAnsi="Calibri" w:cs="Arial"/>
          <w:b/>
          <w:b/>
          <w:bCs/>
          <w:i w:val="false"/>
          <w:i w:val="false"/>
          <w:iCs w:val="false"/>
          <w:color w:val="000000"/>
          <w:sz w:val="24"/>
          <w:szCs w:val="24"/>
        </w:rPr>
      </w:pPr>
      <w:r>
        <w:rPr>
          <w:rFonts w:cs="Arial" w:ascii="Calibri" w:hAnsi="Calibri"/>
          <w:b/>
          <w:bCs/>
          <w:i w:val="false"/>
          <w:iCs w:val="false"/>
          <w:color w:val="000000"/>
          <w:sz w:val="24"/>
          <w:szCs w:val="24"/>
        </w:rPr>
      </w:r>
    </w:p>
    <w:p>
      <w:pPr>
        <w:pStyle w:val="Normal"/>
        <w:spacing w:lineRule="auto" w:line="240" w:before="0" w:after="0"/>
        <w:ind w:left="0" w:right="0" w:firstLine="567"/>
        <w:contextualSpacing/>
        <w:jc w:val="center"/>
        <w:rPr>
          <w:rFonts w:ascii="Calibri" w:hAnsi="Calibri"/>
          <w:i w:val="false"/>
          <w:i w:val="false"/>
          <w:iCs w:val="false"/>
          <w:color w:val="000000"/>
          <w:sz w:val="24"/>
          <w:szCs w:val="24"/>
        </w:rPr>
      </w:pPr>
      <w:r>
        <w:rPr>
          <w:rFonts w:eastAsia="Times New Roman" w:cs="Arial" w:ascii="Calibri" w:hAnsi="Calibri"/>
          <w:b/>
          <w:i w:val="false"/>
          <w:iCs w:val="false"/>
          <w:color w:val="000000"/>
          <w:sz w:val="24"/>
          <w:szCs w:val="24"/>
        </w:rPr>
        <w:t xml:space="preserve">PREGÃO ELETRÔNICO Nº </w:t>
      </w:r>
      <w:r>
        <w:rPr>
          <w:rFonts w:eastAsia="ＭＳ 明朝" w:cs="Arial" w:ascii="Calibri" w:hAnsi="Calibri"/>
          <w:b/>
          <w:i w:val="false"/>
          <w:iCs w:val="false"/>
          <w:color w:val="000000"/>
          <w:kern w:val="0"/>
          <w:sz w:val="24"/>
          <w:szCs w:val="24"/>
          <w:lang w:val="pt-BR" w:eastAsia="pt-BR" w:bidi="ar-SA"/>
        </w:rPr>
        <w:t>90002</w:t>
      </w:r>
      <w:r>
        <w:rPr>
          <w:rFonts w:eastAsia="Times New Roman" w:cs="Arial" w:ascii="Calibri" w:hAnsi="Calibri"/>
          <w:b/>
          <w:i w:val="false"/>
          <w:iCs w:val="false"/>
          <w:color w:val="000000"/>
          <w:sz w:val="24"/>
          <w:szCs w:val="24"/>
        </w:rPr>
        <w:t>/20</w:t>
      </w:r>
      <w:r>
        <w:rPr>
          <w:rFonts w:eastAsia="ＭＳ 明朝" w:cs="Arial" w:ascii="Calibri" w:hAnsi="Calibri"/>
          <w:b/>
          <w:i w:val="false"/>
          <w:iCs w:val="false"/>
          <w:color w:val="000000"/>
          <w:kern w:val="0"/>
          <w:sz w:val="24"/>
          <w:szCs w:val="24"/>
          <w:lang w:val="pt-BR" w:eastAsia="pt-BR" w:bidi="ar-SA"/>
        </w:rPr>
        <w:t>25</w:t>
      </w:r>
    </w:p>
    <w:p>
      <w:pPr>
        <w:pStyle w:val="Normal"/>
        <w:spacing w:lineRule="auto" w:line="240" w:before="0" w:after="0"/>
        <w:ind w:left="0" w:right="0" w:firstLine="567"/>
        <w:contextualSpacing/>
        <w:jc w:val="center"/>
        <w:rPr>
          <w:rFonts w:ascii="Calibri" w:hAnsi="Calibri"/>
          <w:color w:val="000000"/>
          <w:sz w:val="24"/>
          <w:szCs w:val="24"/>
        </w:rPr>
      </w:pPr>
      <w:r>
        <w:rPr>
          <w:rFonts w:ascii="Calibri" w:hAnsi="Calibri"/>
          <w:color w:val="000000"/>
          <w:sz w:val="24"/>
          <w:szCs w:val="24"/>
        </w:rPr>
      </w:r>
    </w:p>
    <w:p>
      <w:pPr>
        <w:pStyle w:val="Normal"/>
        <w:spacing w:lineRule="auto" w:line="240" w:before="0" w:after="0"/>
        <w:ind w:left="0" w:right="0" w:firstLine="567"/>
        <w:contextualSpacing/>
        <w:jc w:val="center"/>
        <w:rPr>
          <w:rFonts w:ascii="Calibri" w:hAnsi="Calibri"/>
          <w:color w:val="000000"/>
          <w:sz w:val="24"/>
          <w:szCs w:val="24"/>
        </w:rPr>
      </w:pPr>
      <w:r>
        <w:rPr>
          <w:rFonts w:cs="Arial" w:ascii="Calibri" w:hAnsi="Calibri"/>
          <w:bCs/>
          <w:color w:val="000000"/>
          <w:sz w:val="24"/>
          <w:szCs w:val="24"/>
        </w:rPr>
        <w:t>(Processo Administrativo n° 63410.005066/2025-41)</w:t>
      </w:r>
    </w:p>
    <w:p>
      <w:pPr>
        <w:pStyle w:val="Prembulo"/>
        <w:spacing w:lineRule="auto" w:line="240" w:before="0" w:after="0"/>
        <w:contextualSpacing/>
        <w:rPr>
          <w:bCs w:val="false"/>
        </w:rPr>
      </w:pPr>
      <w:r>
        <w:rPr>
          <w:rFonts w:ascii="Calibri" w:hAnsi="Calibri"/>
          <w:color w:val="000000"/>
          <w:sz w:val="24"/>
          <w:szCs w:val="24"/>
        </w:rPr>
      </w:r>
    </w:p>
    <w:p>
      <w:pPr>
        <w:pStyle w:val="Prembulo"/>
        <w:spacing w:lineRule="auto" w:line="240" w:before="0" w:after="0"/>
        <w:contextualSpacing/>
        <w:rPr>
          <w:bCs w:val="false"/>
        </w:rPr>
      </w:pPr>
      <w:r>
        <w:rPr>
          <w:rFonts w:ascii="Calibri" w:hAnsi="Calibri"/>
          <w:color w:val="000000"/>
          <w:sz w:val="24"/>
          <w:szCs w:val="24"/>
        </w:rPr>
      </w:r>
    </w:p>
    <w:p>
      <w:pPr>
        <w:pStyle w:val="Prembulo"/>
        <w:spacing w:lineRule="auto" w:line="240" w:before="0" w:after="0"/>
        <w:contextualSpacing/>
        <w:rPr>
          <w:rFonts w:ascii="Calibri" w:hAnsi="Calibri"/>
          <w:color w:val="000000"/>
          <w:sz w:val="24"/>
          <w:szCs w:val="24"/>
        </w:rPr>
      </w:pPr>
      <w:r>
        <w:rPr>
          <w:rFonts w:ascii="Calibri" w:hAnsi="Calibri"/>
          <w:bCs w:val="false"/>
          <w:color w:val="000000"/>
          <w:sz w:val="24"/>
          <w:szCs w:val="24"/>
        </w:rPr>
        <w:t xml:space="preserve">CONTRATO ADMINISTRATIVO Nº </w:t>
      </w:r>
      <w:r>
        <w:rPr>
          <w:rFonts w:ascii="Calibri" w:hAnsi="Calibri"/>
          <w:bCs w:val="false"/>
          <w:i/>
          <w:iCs/>
          <w:color w:val="000000"/>
          <w:sz w:val="24"/>
          <w:szCs w:val="24"/>
        </w:rPr>
        <w:t>xx</w:t>
      </w:r>
      <w:r>
        <w:rPr>
          <w:rFonts w:ascii="Calibri" w:hAnsi="Calibri"/>
          <w:bCs w:val="false"/>
          <w:color w:val="000000"/>
          <w:sz w:val="24"/>
          <w:szCs w:val="24"/>
        </w:rPr>
        <w:t>/</w:t>
      </w:r>
      <w:r>
        <w:rPr>
          <w:rFonts w:ascii="Calibri" w:hAnsi="Calibri"/>
          <w:bCs w:val="false"/>
          <w:i/>
          <w:iCs/>
          <w:color w:val="000000"/>
          <w:sz w:val="24"/>
          <w:szCs w:val="24"/>
        </w:rPr>
        <w:t>xxxx</w:t>
      </w:r>
      <w:r>
        <w:rPr>
          <w:rFonts w:ascii="Calibri" w:hAnsi="Calibri"/>
          <w:bCs w:val="false"/>
          <w:color w:val="000000"/>
          <w:sz w:val="24"/>
          <w:szCs w:val="24"/>
        </w:rPr>
        <w:t xml:space="preserve">, QUE FAZEM ENTRE SI A UNIÃO, POR INTERMÉDIO DO (A) ......................................................... E .............................................................  </w:t>
      </w:r>
    </w:p>
    <w:p>
      <w:pPr>
        <w:pStyle w:val="Normal"/>
        <w:spacing w:lineRule="auto" w:line="240" w:before="0" w:after="0"/>
        <w:ind w:firstLine="1418"/>
        <w:contextualSpacing/>
        <w:jc w:val="both"/>
        <w:rPr>
          <w:rFonts w:eastAsia="Arial" w:cs="Arial"/>
          <w:i w:val="false"/>
          <w:i w:val="false"/>
          <w:iCs w:val="false"/>
          <w:color w:val="000000"/>
        </w:rPr>
      </w:pPr>
      <w:r>
        <w:rPr>
          <w:rFonts w:ascii="Calibri" w:hAnsi="Calibri"/>
          <w:sz w:val="24"/>
          <w:szCs w:val="24"/>
        </w:rPr>
      </w:r>
    </w:p>
    <w:p>
      <w:pPr>
        <w:pStyle w:val="Normal"/>
        <w:spacing w:lineRule="auto" w:line="240" w:before="0" w:after="0"/>
        <w:ind w:firstLine="1418"/>
        <w:contextualSpacing/>
        <w:jc w:val="both"/>
        <w:rPr>
          <w:rFonts w:eastAsia="Arial" w:cs="Arial"/>
          <w:i w:val="false"/>
          <w:i w:val="false"/>
          <w:iCs w:val="false"/>
          <w:color w:val="000000"/>
        </w:rPr>
      </w:pPr>
      <w:r>
        <w:rPr>
          <w:rFonts w:ascii="Calibri" w:hAnsi="Calibri"/>
          <w:sz w:val="24"/>
          <w:szCs w:val="24"/>
        </w:rPr>
      </w:r>
    </w:p>
    <w:p>
      <w:pPr>
        <w:pStyle w:val="Normal"/>
        <w:spacing w:lineRule="auto" w:line="240" w:before="0" w:after="0"/>
        <w:ind w:firstLine="1418"/>
        <w:contextualSpacing/>
        <w:jc w:val="both"/>
        <w:rPr/>
      </w:pPr>
      <w:r>
        <w:rPr>
          <w:rFonts w:eastAsia="Arial" w:cs="Arial" w:ascii="Calibri" w:hAnsi="Calibri"/>
          <w:i w:val="false"/>
          <w:iCs w:val="false"/>
          <w:color w:val="000000"/>
          <w:sz w:val="24"/>
          <w:szCs w:val="24"/>
        </w:rPr>
        <w:t xml:space="preserve">A </w:t>
      </w:r>
      <w:r>
        <w:rPr>
          <w:rStyle w:val="Fontepargpadro"/>
          <w:rFonts w:eastAsia="Arial" w:cs="Times New Roman" w:ascii="Calibri" w:hAnsi="Calibri"/>
          <w:i w:val="false"/>
          <w:iCs w:val="false"/>
          <w:color w:val="000000"/>
          <w:spacing w:val="-6"/>
          <w:sz w:val="24"/>
          <w:szCs w:val="24"/>
        </w:rPr>
        <w:t xml:space="preserve">UNIÃO FEDERAL, por intermédio da MARINHA DO BRASIL, neste ato representada pelo </w:t>
      </w:r>
      <w:r>
        <w:rPr>
          <w:rStyle w:val="Fontepargpadro"/>
          <w:rFonts w:eastAsia="Arial" w:cs="Times New Roman" w:ascii="Calibri" w:hAnsi="Calibri"/>
          <w:b/>
          <w:bCs/>
          <w:i w:val="false"/>
          <w:iCs w:val="false"/>
          <w:color w:val="000000"/>
          <w:spacing w:val="-3"/>
          <w:sz w:val="24"/>
          <w:szCs w:val="24"/>
        </w:rPr>
        <w:t>SERVIÇO DE VETERANOS E PENSIONISTAS DA MARINHA</w:t>
      </w:r>
      <w:r>
        <w:rPr>
          <w:rStyle w:val="Fontepargpadro"/>
          <w:rFonts w:eastAsia="Arial" w:cs="Times New Roman" w:ascii="Calibri" w:hAnsi="Calibri"/>
          <w:i w:val="false"/>
          <w:iCs w:val="false"/>
          <w:color w:val="000000"/>
          <w:spacing w:val="-6"/>
          <w:sz w:val="24"/>
          <w:szCs w:val="24"/>
        </w:rPr>
        <w:t xml:space="preserve"> (SVPM),</w:t>
      </w:r>
      <w:r>
        <w:rPr>
          <w:rStyle w:val="Fontepargpadro"/>
          <w:rFonts w:eastAsia="Arial" w:cs="Arial" w:ascii="Calibri" w:hAnsi="Calibri"/>
          <w:i w:val="false"/>
          <w:iCs w:val="false"/>
          <w:color w:val="000000"/>
          <w:spacing w:val="-6"/>
          <w:sz w:val="24"/>
          <w:szCs w:val="24"/>
        </w:rPr>
        <w:t xml:space="preserve"> com sede </w:t>
      </w:r>
      <w:r>
        <w:rPr>
          <w:rStyle w:val="Fontepargpadro"/>
          <w:rFonts w:eastAsia="Arial" w:cs="Times New Roman" w:ascii="Calibri" w:hAnsi="Calibri"/>
          <w:i w:val="false"/>
          <w:iCs w:val="false"/>
          <w:color w:val="000000"/>
          <w:spacing w:val="-6"/>
          <w:sz w:val="24"/>
          <w:szCs w:val="24"/>
        </w:rPr>
        <w:t>na Praça Barão de Ladário, S/N°, 2º andar, CEP nº 20.091-000</w:t>
      </w:r>
      <w:r>
        <w:rPr>
          <w:rStyle w:val="Fontepargpadro"/>
          <w:rFonts w:eastAsia="Arial" w:cs="Arial" w:ascii="Calibri" w:hAnsi="Calibri"/>
          <w:i w:val="false"/>
          <w:iCs w:val="false"/>
          <w:color w:val="000000"/>
          <w:spacing w:val="-6"/>
          <w:sz w:val="24"/>
          <w:szCs w:val="24"/>
        </w:rPr>
        <w:t xml:space="preserve">, na cidade do Rio de Janeiro/RJ, inscrito no CNPJ sob o nº </w:t>
      </w:r>
      <w:r>
        <w:rPr>
          <w:rStyle w:val="Fontepargpadro"/>
          <w:rFonts w:eastAsia="Arial" w:cs="Times New Roman" w:ascii="Calibri" w:hAnsi="Calibri"/>
          <w:i w:val="false"/>
          <w:iCs w:val="false"/>
          <w:color w:val="000000"/>
          <w:spacing w:val="-6"/>
          <w:sz w:val="24"/>
          <w:szCs w:val="24"/>
        </w:rPr>
        <w:t>00.394.502/0410-96</w:t>
      </w:r>
      <w:r>
        <w:rPr>
          <w:rFonts w:eastAsia="Arial" w:cs="Arial" w:ascii="Calibri" w:hAnsi="Calibri"/>
          <w:i w:val="false"/>
          <w:iCs w:val="false"/>
          <w:color w:val="000000"/>
          <w:sz w:val="24"/>
          <w:szCs w:val="24"/>
        </w:rPr>
        <w:t xml:space="preserve">, neste ato representada pelo </w:t>
      </w:r>
      <w:r>
        <w:rPr>
          <w:rStyle w:val="Fontepargpadro"/>
          <w:rFonts w:eastAsia="Arial" w:cs="Arial" w:ascii="Calibri" w:hAnsi="Calibri"/>
          <w:i w:val="false"/>
          <w:iCs w:val="false"/>
          <w:color w:val="000000"/>
          <w:spacing w:val="-6"/>
          <w:sz w:val="24"/>
          <w:szCs w:val="24"/>
        </w:rPr>
        <w:t>Capitão de Mar e Guerra (IM), Diretor, ROBSON APARECIDO CAMPOS DE LIMA</w:t>
      </w:r>
      <w:r>
        <w:rPr>
          <w:rFonts w:eastAsia="Arial" w:cs="Arial" w:ascii="Calibri" w:hAnsi="Calibri"/>
          <w:i w:val="false"/>
          <w:iCs w:val="false"/>
          <w:color w:val="000000"/>
          <w:sz w:val="24"/>
          <w:szCs w:val="24"/>
        </w:rPr>
        <w:t>, nomeado pela Portaria nº 207/MB/MD, de 10 de setembro de 2024, publicada no DOU de 11 de setembro de 2024, combinado com a Portaria MB/MD nº 38, de 21 de março de 2022, portador da Matrícula Funcional nº 01.0493.30 e do CPF: 980.113.756-87</w:t>
      </w:r>
      <w:r>
        <w:rPr>
          <w:rFonts w:eastAsia="Arial" w:cs="Arial" w:ascii="Calibri" w:hAnsi="Calibri"/>
          <w:i w:val="false"/>
          <w:iCs w:val="false"/>
          <w:color w:val="000000"/>
          <w:sz w:val="24"/>
          <w:szCs w:val="24"/>
        </w:rPr>
        <w:t>,</w:t>
      </w:r>
      <w:commentRangeStart w:id="1"/>
      <w:r>
        <w:rPr>
          <w:rFonts w:eastAsia="Arial" w:cs="Arial" w:ascii="Calibri" w:hAnsi="Calibri"/>
          <w:i w:val="false"/>
          <w:iCs w:val="false"/>
          <w:color w:val="000000"/>
          <w:sz w:val="24"/>
          <w:szCs w:val="24"/>
        </w:rPr>
        <w:t xml:space="preserve"> doravante denominado CONTRATANTE, e o(a) </w:t>
      </w:r>
      <w:r>
        <w:rPr>
          <w:rFonts w:eastAsia="Arial" w:cs="Arial" w:ascii="Calibri" w:hAnsi="Calibri"/>
          <w:i w:val="false"/>
          <w:iCs w:val="false"/>
          <w:color w:val="000000"/>
          <w:sz w:val="24"/>
          <w:szCs w:val="24"/>
        </w:rPr>
        <w:t>[CONTRATADO],</w:t>
      </w:r>
      <w:r>
        <w:rPr>
          <w:rFonts w:eastAsia="Arial" w:cs="Arial" w:ascii="Calibri" w:hAnsi="Calibri"/>
          <w:i w:val="false"/>
          <w:iCs w:val="false"/>
          <w:color w:val="000000"/>
          <w:sz w:val="24"/>
          <w:szCs w:val="24"/>
        </w:rPr>
        <w:t xml:space="preserve"> </w:t>
      </w:r>
      <w:r>
        <w:rPr>
          <w:rFonts w:ascii="Calibri" w:hAnsi="Calibri"/>
          <w:i w:val="false"/>
          <w:iCs w:val="false"/>
          <w:color w:val="000000"/>
          <w:sz w:val="24"/>
          <w:szCs w:val="24"/>
        </w:rPr>
        <w:t xml:space="preserve">inscrito(a) no CNPJ/MF sob o nº </w:t>
      </w:r>
      <w:r>
        <w:rPr>
          <w:rFonts w:eastAsia="Arial" w:cs="Arial" w:ascii="Calibri" w:hAnsi="Calibri"/>
          <w:i w:val="false"/>
          <w:iCs w:val="false"/>
          <w:color w:val="000000"/>
          <w:sz w:val="24"/>
          <w:szCs w:val="24"/>
        </w:rPr>
        <w:t xml:space="preserve">[CNPJ], </w:t>
      </w:r>
      <w:r>
        <w:rPr>
          <w:rFonts w:ascii="Calibri" w:hAnsi="Calibri"/>
          <w:i w:val="false"/>
          <w:iCs w:val="false"/>
          <w:color w:val="000000"/>
          <w:sz w:val="24"/>
          <w:szCs w:val="24"/>
        </w:rPr>
        <w:t>sediado(a) na</w:t>
      </w:r>
      <w:r>
        <w:rPr>
          <w:rFonts w:eastAsia="Arial" w:cs="Arial" w:ascii="Calibri" w:hAnsi="Calibri"/>
          <w:i w:val="false"/>
          <w:iCs w:val="false"/>
          <w:color w:val="000000"/>
          <w:sz w:val="24"/>
          <w:szCs w:val="24"/>
        </w:rPr>
        <w:t xml:space="preserve"> </w:t>
      </w:r>
      <w:r>
        <w:rPr>
          <w:rFonts w:eastAsia="Arial" w:cs="Arial" w:ascii="Calibri" w:hAnsi="Calibri"/>
          <w:i w:val="false"/>
          <w:iCs w:val="false"/>
          <w:color w:val="000000"/>
          <w:sz w:val="24"/>
          <w:szCs w:val="24"/>
        </w:rPr>
        <w:t>[endereço]</w:t>
      </w:r>
      <w:r>
        <w:rPr>
          <w:rFonts w:eastAsia="Arial" w:cs="Arial" w:ascii="Calibri" w:hAnsi="Calibri"/>
          <w:i w:val="false"/>
          <w:iCs w:val="false"/>
          <w:color w:val="000000"/>
          <w:sz w:val="24"/>
          <w:szCs w:val="24"/>
        </w:rPr>
        <w:t xml:space="preserve">, na cidade de </w:t>
      </w:r>
      <w:r>
        <w:rPr>
          <w:rFonts w:eastAsia="Arial" w:cs="Arial" w:ascii="Calibri" w:hAnsi="Calibri"/>
          <w:i w:val="false"/>
          <w:iCs w:val="false"/>
          <w:color w:val="000000"/>
          <w:sz w:val="24"/>
          <w:szCs w:val="24"/>
        </w:rPr>
        <w:t>[cidade]</w:t>
      </w:r>
      <w:r>
        <w:rPr>
          <w:rFonts w:eastAsia="Arial" w:cs="Arial" w:ascii="Calibri" w:hAnsi="Calibri"/>
          <w:i w:val="false"/>
          <w:iCs w:val="false"/>
          <w:color w:val="000000"/>
          <w:sz w:val="24"/>
          <w:szCs w:val="24"/>
        </w:rPr>
        <w:t>/</w:t>
      </w:r>
      <w:r>
        <w:rPr>
          <w:rFonts w:eastAsia="Arial" w:cs="Arial" w:ascii="Calibri" w:hAnsi="Calibri"/>
          <w:i w:val="false"/>
          <w:iCs w:val="false"/>
          <w:color w:val="000000"/>
          <w:sz w:val="24"/>
          <w:szCs w:val="24"/>
        </w:rPr>
        <w:t>[UF]</w:t>
      </w:r>
      <w:r>
        <w:rPr>
          <w:rFonts w:eastAsia="Arial" w:cs="Arial" w:ascii="Calibri" w:hAnsi="Calibri"/>
          <w:i w:val="false"/>
          <w:iCs w:val="false"/>
          <w:color w:val="000000"/>
          <w:sz w:val="24"/>
          <w:szCs w:val="24"/>
        </w:rPr>
        <w:t xml:space="preserve">, doravante designado CONTRATADO, </w:t>
      </w:r>
      <w:r>
        <w:rPr>
          <w:rFonts w:ascii="Calibri" w:hAnsi="Calibri"/>
          <w:i w:val="false"/>
          <w:iCs w:val="false"/>
          <w:color w:val="000000"/>
          <w:sz w:val="24"/>
          <w:szCs w:val="24"/>
        </w:rPr>
        <w:t xml:space="preserve">neste ato representado(a) por </w:t>
      </w:r>
      <w:r>
        <w:rPr>
          <w:rFonts w:eastAsia="Arial" w:cs="Arial" w:ascii="Calibri" w:hAnsi="Calibri"/>
          <w:i w:val="false"/>
          <w:iCs w:val="false"/>
          <w:color w:val="000000"/>
          <w:sz w:val="24"/>
          <w:szCs w:val="24"/>
        </w:rPr>
        <w:t>[</w:t>
      </w:r>
      <w:r>
        <w:rPr>
          <w:rFonts w:ascii="Calibri" w:hAnsi="Calibri"/>
          <w:i w:val="false"/>
          <w:iCs w:val="false"/>
          <w:color w:val="000000"/>
          <w:sz w:val="24"/>
          <w:szCs w:val="24"/>
        </w:rPr>
        <w:t>nome e função no CONTRATADO</w:t>
      </w:r>
      <w:r>
        <w:rPr>
          <w:rFonts w:eastAsia="Arial" w:cs="Arial" w:ascii="Calibri" w:hAnsi="Calibri"/>
          <w:i w:val="false"/>
          <w:iCs w:val="false"/>
          <w:color w:val="000000"/>
          <w:sz w:val="24"/>
          <w:szCs w:val="24"/>
        </w:rPr>
        <w:t>]</w:t>
      </w:r>
      <w:r>
        <w:rPr>
          <w:rFonts w:eastAsia="Arial" w:cs="Arial" w:ascii="Calibri" w:hAnsi="Calibri"/>
          <w:i w:val="false"/>
          <w:iCs w:val="false"/>
          <w:color w:val="000000"/>
          <w:sz w:val="24"/>
          <w:szCs w:val="24"/>
        </w:rPr>
        <w:t xml:space="preserve">, </w:t>
      </w:r>
      <w:r>
        <w:rPr>
          <w:rFonts w:ascii="Calibri" w:hAnsi="Calibri"/>
          <w:i w:val="false"/>
          <w:iCs w:val="false"/>
          <w:color w:val="000000"/>
          <w:sz w:val="24"/>
          <w:szCs w:val="24"/>
        </w:rPr>
        <w:t xml:space="preserve">conforme </w:t>
      </w:r>
      <w:r>
        <w:rPr>
          <w:rFonts w:eastAsia="Arial" w:cs="Arial" w:ascii="Calibri" w:hAnsi="Calibri"/>
          <w:i w:val="false"/>
          <w:iCs w:val="false"/>
          <w:color w:val="000000"/>
          <w:sz w:val="24"/>
          <w:szCs w:val="24"/>
        </w:rPr>
        <w:t xml:space="preserve">[atos constitutivos da empresa] </w:t>
      </w:r>
      <w:r>
        <w:rPr>
          <w:rFonts w:eastAsia="Arial" w:cs="Arial" w:ascii="Calibri" w:hAnsi="Calibri"/>
          <w:b/>
          <w:bCs/>
          <w:i w:val="false"/>
          <w:iCs w:val="false"/>
          <w:color w:val="000000"/>
          <w:sz w:val="24"/>
          <w:szCs w:val="24"/>
        </w:rPr>
        <w:t>OU</w:t>
      </w:r>
      <w:r>
        <w:rPr>
          <w:rFonts w:eastAsia="Arial" w:cs="Arial" w:ascii="Calibri" w:hAnsi="Calibri"/>
          <w:i w:val="false"/>
          <w:iCs w:val="false"/>
          <w:color w:val="000000"/>
          <w:sz w:val="24"/>
          <w:szCs w:val="24"/>
        </w:rPr>
        <w:t xml:space="preserve"> [procuração apresentada nos autos], </w:t>
      </w:r>
      <w:r>
        <w:rPr>
          <w:rFonts w:eastAsia="Arial" w:cs="Arial" w:ascii="Calibri" w:hAnsi="Calibri"/>
          <w:i w:val="false"/>
          <w:iCs w:val="false"/>
          <w:color w:val="000000"/>
          <w:sz w:val="24"/>
          <w:szCs w:val="24"/>
        </w:rPr>
        <w:t xml:space="preserve">tendo em vista o que consta no Processo nº </w:t>
      </w:r>
      <w:r>
        <w:rPr>
          <w:rFonts w:eastAsia="Arial" w:cs="Arial" w:ascii="Calibri" w:hAnsi="Calibri"/>
          <w:bCs/>
          <w:i w:val="false"/>
          <w:iCs w:val="false"/>
          <w:color w:val="000000"/>
          <w:sz w:val="24"/>
          <w:szCs w:val="24"/>
        </w:rPr>
        <w:t>63410.005066/2025-41</w:t>
      </w:r>
      <w:r>
        <w:rPr>
          <w:rFonts w:eastAsia="Arial" w:cs="Arial" w:ascii="Calibri" w:hAnsi="Calibri"/>
          <w:i w:val="false"/>
          <w:iCs w:val="false"/>
          <w:color w:val="000000"/>
          <w:sz w:val="24"/>
          <w:szCs w:val="24"/>
        </w:rPr>
        <w:t xml:space="preserve"> </w:t>
      </w:r>
      <w:r>
        <w:rPr>
          <w:rFonts w:eastAsia="Arial" w:cs="Arial" w:ascii="Calibri" w:hAnsi="Calibri"/>
          <w:i w:val="false"/>
          <w:iCs w:val="false"/>
          <w:color w:val="000000"/>
          <w:sz w:val="24"/>
          <w:szCs w:val="24"/>
        </w:rPr>
        <w:t xml:space="preserve">e em observância às disposições da Lei nº 14.133, de 1º de abril de 2021, e demais legislação aplicável, resolvem celebrar o presente Termo de Contrato, decorrente </w:t>
      </w:r>
      <w:r>
        <w:rPr>
          <w:rFonts w:ascii="Calibri" w:hAnsi="Calibri"/>
          <w:i w:val="false"/>
          <w:iCs w:val="false"/>
          <w:color w:val="000000"/>
          <w:sz w:val="24"/>
          <w:szCs w:val="24"/>
        </w:rPr>
        <w:t>d</w:t>
      </w:r>
      <w:r>
        <w:rPr>
          <w:rFonts w:ascii="Calibri" w:hAnsi="Calibri"/>
          <w:i w:val="false"/>
          <w:iCs w:val="false"/>
          <w:color w:val="000000"/>
          <w:sz w:val="24"/>
          <w:szCs w:val="24"/>
        </w:rPr>
        <w:t xml:space="preserve">o </w:t>
      </w:r>
      <w:r>
        <w:rPr>
          <w:rFonts w:eastAsia="Arial" w:cs="Arial" w:ascii="Calibri" w:hAnsi="Calibri"/>
          <w:i w:val="false"/>
          <w:iCs w:val="false"/>
          <w:color w:val="000000"/>
          <w:sz w:val="24"/>
          <w:szCs w:val="24"/>
        </w:rPr>
        <w:t xml:space="preserve">Pregão Eletrônico </w:t>
      </w:r>
      <w:r>
        <w:rPr>
          <w:rFonts w:eastAsia="Arial" w:cs="Arial" w:ascii="Calibri" w:hAnsi="Calibri"/>
          <w:i w:val="false"/>
          <w:iCs w:val="false"/>
          <w:color w:val="000000"/>
          <w:sz w:val="24"/>
          <w:szCs w:val="24"/>
        </w:rPr>
        <w:t>nº</w:t>
      </w:r>
      <w:r>
        <w:rPr>
          <w:rFonts w:eastAsia="Arial" w:cs="Arial" w:ascii="Calibri" w:hAnsi="Calibri"/>
          <w:i w:val="false"/>
          <w:iCs w:val="false"/>
          <w:color w:val="000000"/>
          <w:sz w:val="24"/>
          <w:szCs w:val="24"/>
        </w:rPr>
        <w:t xml:space="preserve"> </w:t>
      </w:r>
      <w:r>
        <w:rPr>
          <w:rFonts w:eastAsia="Arial" w:cs="Arial" w:ascii="Calibri" w:hAnsi="Calibri"/>
          <w:i w:val="false"/>
          <w:iCs w:val="false"/>
          <w:color w:val="000000"/>
          <w:sz w:val="24"/>
          <w:szCs w:val="24"/>
        </w:rPr>
        <w:t>90002</w:t>
      </w:r>
      <w:r>
        <w:rPr>
          <w:rFonts w:eastAsia="Arial" w:cs="Arial" w:ascii="Calibri" w:hAnsi="Calibri"/>
          <w:i w:val="false"/>
          <w:iCs w:val="false"/>
          <w:color w:val="000000"/>
          <w:sz w:val="24"/>
          <w:szCs w:val="24"/>
        </w:rPr>
        <w:t>/</w:t>
      </w:r>
      <w:r>
        <w:rPr>
          <w:rFonts w:eastAsia="Arial" w:cs="Arial" w:ascii="Calibri" w:hAnsi="Calibri"/>
          <w:i w:val="false"/>
          <w:iCs w:val="false"/>
          <w:color w:val="000000"/>
          <w:kern w:val="0"/>
          <w:sz w:val="24"/>
          <w:szCs w:val="24"/>
          <w:lang w:val="pt-BR" w:eastAsia="pt-BR" w:bidi="ar-SA"/>
        </w:rPr>
        <w:t>2025</w:t>
      </w:r>
      <w:r>
        <w:rPr>
          <w:rFonts w:eastAsia="Arial" w:cs="Arial" w:ascii="Calibri" w:hAnsi="Calibri"/>
          <w:i w:val="false"/>
          <w:iCs w:val="false"/>
          <w:color w:val="000000"/>
          <w:sz w:val="24"/>
          <w:szCs w:val="24"/>
        </w:rPr>
        <w:t>, mediante as cláusulas e condições a seguir e</w:t>
      </w:r>
      <w:r>
        <w:rPr>
          <w:rFonts w:eastAsia="Arial" w:cs="Arial" w:ascii="Calibri" w:hAnsi="Calibri"/>
          <w:color w:val="000000"/>
          <w:sz w:val="24"/>
          <w:szCs w:val="24"/>
        </w:rPr>
        <w:t>nunciadas.</w:t>
      </w:r>
    </w:p>
    <w:p>
      <w:pPr>
        <w:pStyle w:val="Normal"/>
        <w:spacing w:lineRule="auto" w:line="240" w:before="0" w:after="0"/>
        <w:ind w:firstLine="1418"/>
        <w:contextualSpacing/>
        <w:jc w:val="both"/>
        <w:rPr>
          <w:rFonts w:ascii="Calibri" w:hAnsi="Calibri"/>
          <w:sz w:val="24"/>
          <w:szCs w:val="24"/>
        </w:rPr>
      </w:pPr>
      <w:commentRangeEnd w:id="1"/>
      <w:r>
        <w:commentReference w:id="1"/>
      </w:r>
      <w:r>
        <w:rPr>
          <w:rFonts w:eastAsia="Arial" w:cs="Arial"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PRIMEIRA – OBJETO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O objeto do presente instrumento é a contratação de serviços contínuos de </w:t>
      </w:r>
      <w:r>
        <w:rPr>
          <w:rFonts w:ascii="Calibri" w:hAnsi="Calibri"/>
          <w:i w:val="false"/>
          <w:iCs w:val="false"/>
          <w:color w:val="000000"/>
          <w:sz w:val="24"/>
          <w:szCs w:val="24"/>
        </w:rPr>
        <w:t>de limpeza e conservação das instalações do Serviço de Veteranos e Pensionistas da Marinha, a serem executados com regime de dedicação exclusiva de mão de obra, com fornecimento de materiais de consumo e utensílios necessários e adequados à consecução das tarefas conforme condições, quantidades e exigências estabelecidas neste Edital e seus anexos</w:t>
      </w:r>
      <w:r>
        <w:rPr>
          <w:rFonts w:ascii="Calibri" w:hAnsi="Calibri"/>
          <w:color w:val="000000"/>
          <w:sz w:val="24"/>
          <w:szCs w:val="24"/>
        </w:rPr>
        <w:t>, a serem executados com regime de dedicação exclusiva de mão de obra, nas condições estabelecidas no Termo de Referência.</w:t>
      </w:r>
    </w:p>
    <w:p>
      <w:pPr>
        <w:pStyle w:val="Nivel2"/>
        <w:spacing w:lineRule="auto" w:line="240" w:before="0" w:after="0"/>
        <w:ind w:left="0" w:hanging="0"/>
        <w:contextualSpacing/>
        <w:rPr>
          <w:rFonts w:ascii="Calibri" w:hAnsi="Calibri"/>
          <w:color w:val="000000"/>
          <w:sz w:val="24"/>
          <w:szCs w:val="24"/>
        </w:rPr>
      </w:pPr>
      <w:r>
        <w:rPr>
          <w:rFonts w:ascii="Calibri" w:hAnsi="Calibri"/>
          <w:color w:val="000000"/>
          <w:sz w:val="24"/>
          <w:szCs w:val="24"/>
        </w:rPr>
      </w:r>
    </w:p>
    <w:p>
      <w:pPr>
        <w:pStyle w:val="Nivel2"/>
        <w:spacing w:lineRule="auto" w:line="240" w:before="0" w:after="0"/>
        <w:ind w:left="0" w:hanging="0"/>
        <w:contextualSpacing/>
        <w:rPr>
          <w:rFonts w:ascii="Calibri" w:hAnsi="Calibri"/>
          <w:color w:val="000000"/>
          <w:sz w:val="24"/>
          <w:szCs w:val="24"/>
        </w:rPr>
      </w:pPr>
      <w:r>
        <w:rPr>
          <w:rFonts w:ascii="Calibri" w:hAnsi="Calibri"/>
          <w:color w:val="000000"/>
          <w:sz w:val="24"/>
          <w:szCs w:val="24"/>
        </w:rPr>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Objeto da contratação:</w:t>
      </w:r>
    </w:p>
    <w:tbl>
      <w:tblPr>
        <w:tblW w:w="9643" w:type="dxa"/>
        <w:jc w:val="left"/>
        <w:tblInd w:w="-5" w:type="dxa"/>
        <w:tblCellMar>
          <w:top w:w="0" w:type="dxa"/>
          <w:left w:w="108" w:type="dxa"/>
          <w:bottom w:w="0" w:type="dxa"/>
          <w:right w:w="108" w:type="dxa"/>
        </w:tblCellMar>
        <w:tblLook w:val="04a0" w:noHBand="0" w:noVBand="1" w:firstColumn="1" w:lastRow="0" w:lastColumn="0" w:firstRow="1"/>
      </w:tblPr>
      <w:tblGrid>
        <w:gridCol w:w="964"/>
        <w:gridCol w:w="2437"/>
        <w:gridCol w:w="1135"/>
        <w:gridCol w:w="1276"/>
        <w:gridCol w:w="2127"/>
        <w:gridCol w:w="1704"/>
      </w:tblGrid>
      <w:tr>
        <w:trPr>
          <w:trHeight w:val="1018" w:hRule="exact"/>
        </w:trPr>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360" w:right="0" w:hanging="0"/>
              <w:contextualSpacing/>
              <w:jc w:val="center"/>
              <w:rPr>
                <w:rFonts w:ascii="Calibri" w:hAnsi="Calibri"/>
                <w:color w:val="000000"/>
                <w:sz w:val="24"/>
                <w:szCs w:val="24"/>
              </w:rPr>
            </w:pPr>
            <w:r>
              <w:rPr>
                <w:rFonts w:cs="Arial" w:ascii="Calibri" w:hAnsi="Calibri"/>
                <w:b/>
                <w:bCs/>
                <w:color w:val="000000"/>
                <w:sz w:val="24"/>
                <w:szCs w:val="24"/>
              </w:rPr>
              <w:t>ITEM</w:t>
            </w:r>
          </w:p>
        </w:tc>
        <w:tc>
          <w:tcPr>
            <w:tcW w:w="2437"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spacing w:lineRule="auto" w:line="240" w:before="0" w:after="0"/>
              <w:ind w:left="360" w:hanging="0"/>
              <w:contextualSpacing/>
              <w:rPr>
                <w:rFonts w:ascii="Calibri" w:hAnsi="Calibri"/>
                <w:color w:val="000000"/>
                <w:sz w:val="24"/>
                <w:szCs w:val="24"/>
              </w:rPr>
            </w:pPr>
            <w:r>
              <w:rPr>
                <w:rFonts w:cs="Arial" w:ascii="Calibri" w:hAnsi="Calibri"/>
                <w:b/>
                <w:bCs/>
                <w:color w:val="000000"/>
                <w:sz w:val="24"/>
                <w:szCs w:val="24"/>
              </w:rPr>
              <w:t>ESPECIFICAÇÃO</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360" w:right="0" w:hanging="0"/>
              <w:contextualSpacing/>
              <w:jc w:val="left"/>
              <w:rPr>
                <w:rFonts w:ascii="Calibri" w:hAnsi="Calibri"/>
                <w:color w:val="000000"/>
                <w:sz w:val="24"/>
                <w:szCs w:val="24"/>
              </w:rPr>
            </w:pPr>
            <w:r>
              <w:rPr>
                <w:rFonts w:cs="Arial" w:ascii="Calibri" w:hAnsi="Calibri"/>
                <w:b/>
                <w:bCs/>
                <w:color w:val="000000"/>
                <w:sz w:val="24"/>
                <w:szCs w:val="24"/>
              </w:rPr>
              <w:t>CATSER</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360" w:right="0" w:hanging="0"/>
              <w:contextualSpacing/>
              <w:jc w:val="center"/>
              <w:rPr>
                <w:rFonts w:ascii="Calibri" w:hAnsi="Calibri"/>
                <w:color w:val="000000"/>
                <w:sz w:val="24"/>
                <w:szCs w:val="24"/>
              </w:rPr>
            </w:pPr>
            <w:r>
              <w:rPr>
                <w:rFonts w:cs="Arial" w:ascii="Calibri" w:hAnsi="Calibri"/>
                <w:b/>
                <w:bCs/>
                <w:color w:val="000000"/>
                <w:sz w:val="24"/>
                <w:szCs w:val="24"/>
              </w:rPr>
              <w:t>CARGA HORÁRIA SEMANAL</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360" w:right="0" w:hanging="0"/>
              <w:contextualSpacing/>
              <w:jc w:val="center"/>
              <w:rPr>
                <w:rFonts w:ascii="Calibri" w:hAnsi="Calibri"/>
                <w:color w:val="000000"/>
                <w:sz w:val="24"/>
                <w:szCs w:val="24"/>
              </w:rPr>
            </w:pPr>
            <w:r>
              <w:rPr>
                <w:rFonts w:cs="Arial" w:ascii="Calibri" w:hAnsi="Calibri"/>
                <w:b/>
                <w:bCs/>
                <w:color w:val="000000"/>
                <w:sz w:val="24"/>
                <w:szCs w:val="24"/>
              </w:rPr>
              <w:t>VALOR MENSAL</w:t>
            </w:r>
          </w:p>
        </w:tc>
        <w:tc>
          <w:tcPr>
            <w:tcW w:w="1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spacing w:lineRule="auto" w:line="240" w:before="0" w:after="0"/>
              <w:ind w:left="360" w:hanging="0"/>
              <w:contextualSpacing/>
              <w:rPr>
                <w:rFonts w:ascii="Calibri" w:hAnsi="Calibri"/>
                <w:color w:val="000000"/>
                <w:sz w:val="24"/>
                <w:szCs w:val="24"/>
              </w:rPr>
            </w:pPr>
            <w:r>
              <w:rPr>
                <w:rFonts w:cs="Arial" w:ascii="Calibri" w:hAnsi="Calibri"/>
                <w:b/>
                <w:bCs/>
                <w:color w:val="000000"/>
                <w:sz w:val="24"/>
                <w:szCs w:val="24"/>
              </w:rPr>
              <w:t xml:space="preserve">VALOR </w:t>
            </w:r>
            <w:r>
              <w:rPr>
                <w:rFonts w:cs="Arial" w:ascii="Calibri" w:hAnsi="Calibri"/>
                <w:b/>
                <w:bCs/>
                <w:color w:val="000000"/>
                <w:sz w:val="24"/>
                <w:szCs w:val="24"/>
              </w:rPr>
              <w:commentReference w:id="2"/>
            </w:r>
            <w:r>
              <w:rPr>
                <w:rFonts w:cs="Arial" w:ascii="Calibri" w:hAnsi="Calibri"/>
                <w:b/>
                <w:bCs/>
                <w:color w:val="000000"/>
                <w:sz w:val="24"/>
                <w:szCs w:val="24"/>
              </w:rPr>
              <w:t>ANUAL</w:t>
            </w:r>
            <w:r>
              <w:rPr>
                <w:rFonts w:cs="Arial" w:ascii="Calibri" w:hAnsi="Calibri"/>
                <w:b/>
                <w:bCs/>
                <w:color w:val="000000"/>
                <w:sz w:val="24"/>
                <w:szCs w:val="24"/>
              </w:rPr>
              <w:commentReference w:id="3"/>
            </w:r>
          </w:p>
        </w:tc>
      </w:tr>
      <w:tr>
        <w:trPr>
          <w:trHeight w:val="1478" w:hRule="exact"/>
        </w:trPr>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360" w:right="0" w:hanging="0"/>
              <w:contextualSpacing/>
              <w:jc w:val="center"/>
              <w:rPr>
                <w:rFonts w:ascii="Calibri" w:hAnsi="Calibri"/>
                <w:color w:val="000000"/>
                <w:sz w:val="24"/>
                <w:szCs w:val="24"/>
              </w:rPr>
            </w:pPr>
            <w:r>
              <w:rPr>
                <w:rFonts w:ascii="Calibri" w:hAnsi="Calibri"/>
                <w:color w:val="000000"/>
                <w:sz w:val="24"/>
                <w:szCs w:val="24"/>
              </w:rPr>
            </w:r>
          </w:p>
          <w:p>
            <w:pPr>
              <w:pStyle w:val="Normal"/>
              <w:widowControl w:val="false"/>
              <w:numPr>
                <w:ilvl w:val="0"/>
                <w:numId w:val="0"/>
              </w:numPr>
              <w:suppressAutoHyphens w:val="true"/>
              <w:bidi w:val="0"/>
              <w:spacing w:lineRule="auto" w:line="240" w:before="0" w:after="0"/>
              <w:ind w:left="360" w:right="0" w:hanging="0"/>
              <w:contextualSpacing/>
              <w:jc w:val="center"/>
              <w:rPr>
                <w:rFonts w:ascii="Calibri" w:hAnsi="Calibri"/>
                <w:color w:val="000000"/>
                <w:sz w:val="24"/>
                <w:szCs w:val="24"/>
              </w:rPr>
            </w:pPr>
            <w:r>
              <w:rPr>
                <w:rFonts w:cs="Arial" w:ascii="Calibri" w:hAnsi="Calibri"/>
                <w:b/>
                <w:color w:val="000000"/>
                <w:sz w:val="24"/>
                <w:szCs w:val="24"/>
              </w:rPr>
              <w:t>1</w:t>
            </w:r>
          </w:p>
        </w:tc>
        <w:tc>
          <w:tcPr>
            <w:tcW w:w="2437"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1283" w:right="0" w:hanging="0"/>
              <w:contextualSpacing/>
              <w:jc w:val="both"/>
              <w:rPr>
                <w:rFonts w:ascii="Calibri" w:hAnsi="Calibri"/>
                <w:color w:val="000000"/>
                <w:sz w:val="24"/>
                <w:szCs w:val="24"/>
              </w:rPr>
            </w:pPr>
            <w:r>
              <w:rPr>
                <w:rFonts w:cs="Arial" w:ascii="Calibri" w:hAnsi="Calibri"/>
                <w:color w:val="000000"/>
                <w:sz w:val="24"/>
                <w:szCs w:val="24"/>
              </w:rPr>
              <w:t>Prestação de serviço de limpeza e conservação, com fornecimento de materiais e utensílios.</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360" w:right="0" w:hanging="0"/>
              <w:contextualSpacing/>
              <w:jc w:val="center"/>
              <w:rPr>
                <w:rFonts w:ascii="Calibri" w:hAnsi="Calibri"/>
                <w:color w:val="000000"/>
                <w:sz w:val="24"/>
                <w:szCs w:val="24"/>
              </w:rPr>
            </w:pPr>
            <w:r>
              <w:rPr>
                <w:rFonts w:cs="Arial" w:ascii="Calibri" w:hAnsi="Calibri"/>
                <w:color w:val="000000"/>
                <w:sz w:val="24"/>
                <w:szCs w:val="24"/>
              </w:rPr>
              <w:t>27782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spacing w:lineRule="auto" w:line="240" w:before="0" w:after="0"/>
              <w:ind w:left="360" w:hanging="0"/>
              <w:contextualSpacing/>
              <w:rPr>
                <w:rFonts w:ascii="Calibri" w:hAnsi="Calibri"/>
                <w:color w:val="000000"/>
                <w:sz w:val="24"/>
                <w:szCs w:val="24"/>
              </w:rPr>
            </w:pPr>
            <w:r>
              <w:rPr>
                <w:rFonts w:cs="Arial" w:ascii="Calibri" w:hAnsi="Calibri"/>
                <w:color w:val="000000"/>
                <w:sz w:val="24"/>
                <w:szCs w:val="24"/>
              </w:rPr>
              <w:t>40h</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spacing w:lineRule="auto" w:line="240" w:before="0" w:after="0"/>
              <w:ind w:left="360" w:hanging="0"/>
              <w:contextualSpacing/>
              <w:rPr>
                <w:rFonts w:ascii="Calibri" w:hAnsi="Calibri"/>
                <w:color w:val="000000"/>
                <w:sz w:val="24"/>
                <w:szCs w:val="24"/>
              </w:rPr>
            </w:pPr>
            <w:r>
              <w:rPr>
                <w:rFonts w:cs="Arial" w:ascii="Calibri" w:hAnsi="Calibri"/>
                <w:color w:val="000000"/>
                <w:sz w:val="24"/>
                <w:szCs w:val="24"/>
              </w:rPr>
              <w:t>R$ 41.736,14</w:t>
            </w:r>
          </w:p>
        </w:tc>
        <w:tc>
          <w:tcPr>
            <w:tcW w:w="170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uppressAutoHyphens w:val="true"/>
              <w:bidi w:val="0"/>
              <w:spacing w:lineRule="auto" w:line="240" w:before="0" w:after="0"/>
              <w:ind w:left="360" w:right="0" w:hanging="0"/>
              <w:contextualSpacing/>
              <w:jc w:val="left"/>
              <w:rPr>
                <w:rFonts w:ascii="Calibri" w:hAnsi="Calibri"/>
                <w:color w:val="000000"/>
                <w:sz w:val="24"/>
                <w:szCs w:val="24"/>
              </w:rPr>
            </w:pPr>
            <w:r>
              <w:rPr>
                <w:rFonts w:cs="Arial" w:ascii="Calibri" w:hAnsi="Calibri"/>
                <w:color w:val="000000"/>
                <w:sz w:val="24"/>
                <w:szCs w:val="24"/>
              </w:rPr>
              <w:t>R$ 500.833,68</w:t>
            </w:r>
          </w:p>
        </w:tc>
      </w:tr>
    </w:tbl>
    <w:p>
      <w:pPr>
        <w:pStyle w:val="Normal"/>
        <w:spacing w:lineRule="auto" w:line="240" w:before="0" w:after="0"/>
        <w:contextualSpacing/>
        <w:rPr>
          <w:rFonts w:ascii="Calibri" w:hAnsi="Calibri"/>
          <w:color w:val="000000"/>
          <w:sz w:val="24"/>
          <w:szCs w:val="24"/>
        </w:rPr>
      </w:pPr>
      <w:r>
        <w:rPr>
          <w:rFonts w:ascii="Calibri" w:hAnsi="Calibri"/>
          <w:color w:val="000000"/>
          <w:sz w:val="24"/>
          <w:szCs w:val="24"/>
        </w:rPr>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Vinculam esta contratação, independentemente de transcrição: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O Termo de Referência;</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O Edital da Licitação;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A Proposta do CONTRATADO;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Eventuais anexos dos documentos supracitados.</w:t>
      </w:r>
    </w:p>
    <w:p>
      <w:pPr>
        <w:pStyle w:val="Nivel3"/>
        <w:numPr>
          <w:ilvl w:val="0"/>
          <w:numId w:val="0"/>
        </w:numPr>
        <w:spacing w:lineRule="auto" w:line="240" w:before="0" w:after="0"/>
        <w:ind w:left="3482" w:hanging="0"/>
        <w:contextualSpacing/>
        <w:rPr>
          <w:rFonts w:ascii="Calibri" w:hAnsi="Calibri"/>
          <w:color w:val="000000"/>
          <w:sz w:val="24"/>
          <w:szCs w:val="24"/>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CLÁUSULA SEGUNDA – VIGÊNCIA E </w:t>
      </w:r>
      <w:commentRangeStart w:id="4"/>
      <w:r>
        <w:rPr>
          <w:rFonts w:ascii="Calibri" w:hAnsi="Calibri"/>
          <w:color w:val="000000"/>
          <w:sz w:val="24"/>
          <w:szCs w:val="24"/>
        </w:rPr>
        <w:t>PRORROGAÇÃO</w:t>
      </w:r>
      <w:commentRangeEnd w:id="4"/>
      <w:r>
        <w:commentReference w:id="4"/>
      </w:r>
      <w:r>
        <w:rPr>
          <w:rFonts w:ascii="Calibri" w:hAnsi="Calibri"/>
          <w:color w:val="000000"/>
          <w:sz w:val="24"/>
          <w:szCs w:val="24"/>
        </w:rPr>
      </w:r>
    </w:p>
    <w:p>
      <w:pPr>
        <w:pStyle w:val="Nivel2"/>
        <w:numPr>
          <w:ilvl w:val="1"/>
          <w:numId w:val="1"/>
        </w:numPr>
        <w:spacing w:lineRule="auto" w:line="240" w:before="0" w:after="0"/>
        <w:ind w:left="0" w:hanging="0"/>
        <w:contextualSpacing/>
        <w:rPr>
          <w:rFonts w:ascii="Calibri" w:hAnsi="Calibri"/>
          <w:i w:val="false"/>
          <w:i w:val="false"/>
          <w:iCs w:val="false"/>
          <w:color w:val="000000"/>
          <w:sz w:val="24"/>
          <w:szCs w:val="24"/>
        </w:rPr>
      </w:pPr>
      <w:r>
        <w:rPr>
          <w:rFonts w:ascii="Calibri" w:hAnsi="Calibri"/>
          <w:i w:val="false"/>
          <w:iCs w:val="false"/>
          <w:color w:val="000000"/>
          <w:sz w:val="24"/>
          <w:szCs w:val="24"/>
        </w:rPr>
        <w:t xml:space="preserve">O prazo de vigência da contratação é de </w:t>
      </w:r>
      <w:r>
        <w:rPr>
          <w:rFonts w:eastAsia="ＭＳ 明朝" w:cs="Arial" w:ascii="Calibri" w:hAnsi="Calibri"/>
          <w:i w:val="false"/>
          <w:iCs w:val="false"/>
          <w:color w:val="000000"/>
          <w:kern w:val="0"/>
          <w:sz w:val="24"/>
          <w:szCs w:val="24"/>
          <w:lang w:val="pt-BR" w:eastAsia="pt-BR" w:bidi="ar-SA"/>
        </w:rPr>
        <w:t>5 anos</w:t>
      </w:r>
      <w:r>
        <w:rPr>
          <w:rFonts w:ascii="Calibri" w:hAnsi="Calibri"/>
          <w:i w:val="false"/>
          <w:iCs w:val="false"/>
          <w:color w:val="000000"/>
          <w:sz w:val="24"/>
          <w:szCs w:val="24"/>
        </w:rPr>
        <w:t xml:space="preserve"> </w:t>
      </w:r>
      <w:r>
        <w:rPr>
          <w:rFonts w:ascii="Calibri" w:hAnsi="Calibri"/>
          <w:i w:val="false"/>
          <w:iCs w:val="false"/>
          <w:color w:val="000000"/>
          <w:sz w:val="24"/>
          <w:szCs w:val="24"/>
        </w:rPr>
        <w:t xml:space="preserve">contados a </w:t>
      </w:r>
      <w:r>
        <w:rPr>
          <w:rFonts w:ascii="Calibri" w:hAnsi="Calibri"/>
          <w:i w:val="false"/>
          <w:iCs w:val="false"/>
          <w:color w:val="000000"/>
          <w:sz w:val="24"/>
          <w:szCs w:val="24"/>
        </w:rPr>
        <w:t xml:space="preserve">a </w:t>
      </w:r>
      <w:commentRangeStart w:id="5"/>
      <w:r>
        <w:rPr>
          <w:rFonts w:ascii="Calibri" w:hAnsi="Calibri"/>
          <w:i w:val="false"/>
          <w:iCs w:val="false"/>
          <w:color w:val="000000"/>
          <w:sz w:val="24"/>
          <w:szCs w:val="24"/>
        </w:rPr>
        <w:t>partir</w:t>
      </w:r>
      <w:r>
        <w:rPr>
          <w:rFonts w:ascii="Calibri" w:hAnsi="Calibri"/>
          <w:i w:val="false"/>
          <w:iCs w:val="false"/>
          <w:color w:val="000000"/>
          <w:sz w:val="24"/>
          <w:szCs w:val="24"/>
        </w:rPr>
      </w:r>
      <w:commentRangeEnd w:id="5"/>
      <w:r>
        <w:commentReference w:id="5"/>
      </w:r>
      <w:r>
        <w:rPr>
          <w:rFonts w:ascii="Calibri" w:hAnsi="Calibri"/>
          <w:i w:val="false"/>
          <w:iCs w:val="false"/>
          <w:color w:val="000000"/>
          <w:sz w:val="24"/>
          <w:szCs w:val="24"/>
        </w:rPr>
        <w:t xml:space="preserve"> do primeiro dia útil subsequente à data de divulgação no PNCP</w:t>
      </w:r>
      <w:r>
        <w:rPr>
          <w:rFonts w:ascii="Calibri" w:hAnsi="Calibri"/>
          <w:i w:val="false"/>
          <w:iCs w:val="false"/>
          <w:color w:val="000000"/>
          <w:sz w:val="24"/>
          <w:szCs w:val="24"/>
        </w:rPr>
        <w:t>, prorrogável sucessivamente por até 10 anos, na forma dos artigos 106 e 107 da Lei n° 14.133, de 2021.</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Estar formalmente demonstrado no processo que a forma de prestação dos serviços tem natureza continuada;</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 xml:space="preserve">Seja juntado relatório que discorra sobre a execução do contrato, com informações de que os serviços tenham sido prestados regularmente;  </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 xml:space="preserve">Seja juntada justificativa e motivo, por escrito, de que a Administração mantém interesse na realização do serviço;  </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 xml:space="preserve">Haja manifestação expressa do CONTRATADO informando o interesse na prorrogação; </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Seja comprovado que o CONTRATADO mantém as condições iniciais de habilitação; e</w:t>
      </w:r>
    </w:p>
    <w:p>
      <w:pPr>
        <w:pStyle w:val="Nivel3"/>
        <w:numPr>
          <w:ilvl w:val="2"/>
          <w:numId w:val="1"/>
        </w:numPr>
        <w:spacing w:lineRule="auto" w:line="240" w:before="0" w:after="0"/>
        <w:ind w:left="284" w:hanging="0"/>
        <w:contextualSpacing/>
        <w:rPr>
          <w:rFonts w:ascii="Calibri" w:hAnsi="Calibri"/>
          <w:color w:val="000000"/>
          <w:sz w:val="24"/>
          <w:szCs w:val="24"/>
        </w:rPr>
      </w:pPr>
      <w:bookmarkStart w:id="0" w:name="_Hlk182221215"/>
      <w:r>
        <w:rPr>
          <w:rFonts w:ascii="Calibri" w:hAnsi="Calibri"/>
          <w:color w:val="000000"/>
          <w:sz w:val="24"/>
          <w:szCs w:val="24"/>
          <w:highlight w:val="yellow"/>
        </w:rPr>
        <w:t>Não haja registro no Cadastro Informativo de créditos não quitados do setor público federal (Cadin)</w:t>
      </w:r>
      <w:bookmarkEnd w:id="0"/>
      <w:r>
        <w:rPr>
          <w:rFonts w:ascii="Calibri" w:hAnsi="Calibri"/>
          <w:color w:val="000000"/>
          <w:sz w:val="24"/>
          <w:szCs w:val="24"/>
          <w:highlight w:val="yellow"/>
        </w:rPr>
        <w:t>.</w:t>
      </w:r>
      <w:bookmarkStart w:id="1" w:name="_Hlk182222528"/>
      <w:bookmarkStart w:id="2" w:name="_Hlk182221187"/>
      <w:bookmarkEnd w:id="1"/>
      <w:bookmarkEnd w:id="2"/>
    </w:p>
    <w:p>
      <w:pPr>
        <w:pStyle w:val="Nivel2"/>
        <w:numPr>
          <w:ilvl w:val="1"/>
          <w:numId w:val="1"/>
        </w:numPr>
        <w:spacing w:lineRule="auto" w:line="240" w:before="0" w:after="0"/>
        <w:ind w:left="0" w:hanging="0"/>
        <w:contextualSpacing/>
        <w:rPr>
          <w:rFonts w:ascii="Calibri" w:hAnsi="Calibri"/>
          <w:color w:val="000000"/>
          <w:sz w:val="24"/>
          <w:szCs w:val="24"/>
        </w:rPr>
      </w:pPr>
      <w:bookmarkStart w:id="3" w:name="_Hlk182221232"/>
      <w:r>
        <w:rPr>
          <w:rFonts w:ascii="Calibri" w:hAnsi="Calibri"/>
          <w:color w:val="000000"/>
          <w:sz w:val="24"/>
          <w:szCs w:val="24"/>
        </w:rPr>
        <w:t xml:space="preserve">O CONTRATADO </w:t>
      </w:r>
      <w:bookmarkEnd w:id="3"/>
      <w:r>
        <w:rPr>
          <w:rFonts w:ascii="Calibri" w:hAnsi="Calibri"/>
          <w:color w:val="000000"/>
          <w:sz w:val="24"/>
          <w:szCs w:val="24"/>
        </w:rPr>
        <w:t>não tem direito subjetivo à prorrogação contratual.</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 prorrogação de contrato deverá ser promovida mediante celebração de termo aditivo.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contrato não poderá ser prorrogado quando o CONTRATADO tiver sido penalizado nas sanções de declaração de inidoneidade ou impedimento de licitar e contratar com poder público, observadas as abrangências de aplicação.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pPr>
        <w:pStyle w:val="Nivel2"/>
        <w:numPr>
          <w:ilvl w:val="0"/>
          <w:numId w:val="0"/>
        </w:numPr>
        <w:spacing w:lineRule="auto" w:line="240" w:before="0" w:after="0"/>
        <w:ind w:left="1283" w:hanging="0"/>
        <w:contextualSpacing/>
        <w:rPr>
          <w:highlight w:val="yellow"/>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bookmarkStart w:id="4" w:name="_Hlk114497577"/>
      <w:bookmarkStart w:id="5" w:name="_Hlk114497502"/>
      <w:bookmarkEnd w:id="4"/>
      <w:bookmarkEnd w:id="5"/>
      <w:r>
        <w:rPr>
          <w:rFonts w:ascii="Calibri" w:hAnsi="Calibri"/>
          <w:color w:val="000000"/>
          <w:sz w:val="24"/>
          <w:szCs w:val="24"/>
        </w:rPr>
        <w:t>CLÁUSULA TERCEIRA – MODELOS DE EXECUÇÃO E GESTÃO CONTRATUAIS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2"/>
        <w:numPr>
          <w:ilvl w:val="0"/>
          <w:numId w:val="0"/>
        </w:numPr>
        <w:spacing w:lineRule="auto" w:line="240" w:before="0" w:after="0"/>
        <w:ind w:left="1283" w:hanging="0"/>
        <w:contextualSpacing/>
        <w:rPr>
          <w:rFonts w:ascii="Calibri" w:hAnsi="Calibri"/>
          <w:color w:val="000000"/>
          <w:sz w:val="24"/>
          <w:szCs w:val="24"/>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QUARTA – SUBCONTRATAÇÃO</w:t>
      </w:r>
    </w:p>
    <w:p>
      <w:pPr>
        <w:pStyle w:val="Nivel2"/>
        <w:numPr>
          <w:ilvl w:val="1"/>
          <w:numId w:val="1"/>
        </w:numPr>
        <w:spacing w:lineRule="auto" w:line="240" w:before="0" w:after="0"/>
        <w:ind w:left="0" w:hanging="0"/>
        <w:contextualSpacing/>
        <w:rPr>
          <w:rFonts w:ascii="Calibri" w:hAnsi="Calibri"/>
          <w:color w:val="000000"/>
          <w:sz w:val="24"/>
          <w:szCs w:val="24"/>
        </w:rPr>
      </w:pPr>
      <w:bookmarkStart w:id="6" w:name="_Hlk182220156"/>
      <w:r>
        <w:rPr>
          <w:rFonts w:ascii="Calibri" w:hAnsi="Calibri"/>
          <w:color w:val="000000"/>
          <w:sz w:val="24"/>
          <w:szCs w:val="24"/>
          <w:highlight w:val="yellow"/>
        </w:rPr>
        <w:t>As regras sobre a subcontratação do objeto são aquelas estabelecidas no Termo de Referência, anexo a este Contrato</w:t>
      </w:r>
      <w:bookmarkEnd w:id="6"/>
      <w:r>
        <w:rPr>
          <w:rFonts w:ascii="Calibri" w:hAnsi="Calibri"/>
          <w:color w:val="000000"/>
          <w:sz w:val="24"/>
          <w:szCs w:val="24"/>
          <w:highlight w:val="yellow"/>
        </w:rPr>
        <w:t>.</w:t>
      </w:r>
    </w:p>
    <w:p>
      <w:pPr>
        <w:pStyle w:val="Nivel2"/>
        <w:numPr>
          <w:ilvl w:val="0"/>
          <w:numId w:val="0"/>
        </w:numPr>
        <w:spacing w:lineRule="auto" w:line="240" w:before="0" w:after="0"/>
        <w:ind w:left="1283" w:hanging="0"/>
        <w:contextualSpacing/>
        <w:rPr>
          <w:highlight w:val="yellow"/>
        </w:rPr>
      </w:pPr>
      <w:r>
        <w:rPr>
          <w:rFonts w:ascii="Calibri" w:hAnsi="Calibri"/>
          <w:color w:val="000000"/>
          <w:sz w:val="24"/>
          <w:szCs w:val="24"/>
        </w:rPr>
      </w:r>
      <w:bookmarkStart w:id="7" w:name="_Hlk182221373"/>
      <w:bookmarkStart w:id="8" w:name="_Hlk182221373"/>
      <w:bookmarkEnd w:id="8"/>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QUINTA – PREÇO</w:t>
      </w:r>
    </w:p>
    <w:p>
      <w:pPr>
        <w:pStyle w:val="Nvel2Red"/>
        <w:numPr>
          <w:ilvl w:val="1"/>
          <w:numId w:val="1"/>
        </w:numPr>
        <w:spacing w:lineRule="auto" w:line="240" w:before="0" w:after="0"/>
        <w:ind w:left="0" w:hanging="0"/>
        <w:contextualSpacing/>
        <w:rPr>
          <w:rFonts w:ascii="Calibri" w:hAnsi="Calibri"/>
          <w:i w:val="false"/>
          <w:i w:val="false"/>
          <w:iCs w:val="false"/>
          <w:color w:val="000000"/>
          <w:sz w:val="24"/>
          <w:szCs w:val="24"/>
        </w:rPr>
      </w:pPr>
      <w:r>
        <w:rPr>
          <w:rFonts w:ascii="Calibri" w:hAnsi="Calibri"/>
          <w:i w:val="false"/>
          <w:iCs w:val="false"/>
          <w:color w:val="000000"/>
          <w:sz w:val="24"/>
          <w:szCs w:val="24"/>
          <w:lang w:eastAsia="en-US"/>
        </w:rPr>
        <w:t xml:space="preserve">O valor mensal da </w:t>
      </w:r>
      <w:r>
        <w:rPr>
          <w:rFonts w:ascii="Calibri" w:hAnsi="Calibri"/>
          <w:i w:val="false"/>
          <w:iCs w:val="false"/>
          <w:color w:val="000000"/>
          <w:sz w:val="24"/>
          <w:szCs w:val="24"/>
        </w:rPr>
        <w:t>contratação</w:t>
      </w:r>
      <w:r>
        <w:rPr>
          <w:rFonts w:ascii="Calibri" w:hAnsi="Calibri"/>
          <w:i w:val="false"/>
          <w:iCs w:val="false"/>
          <w:color w:val="000000"/>
          <w:sz w:val="24"/>
          <w:szCs w:val="24"/>
          <w:lang w:eastAsia="en-US"/>
        </w:rPr>
        <w:t xml:space="preserve"> é de R$</w:t>
      </w:r>
      <w:r>
        <w:rPr>
          <w:rFonts w:ascii="Calibri" w:hAnsi="Calibri"/>
          <w:i w:val="false"/>
          <w:iCs w:val="false"/>
          <w:color w:val="000000"/>
          <w:sz w:val="24"/>
          <w:szCs w:val="24"/>
        </w:rPr>
        <w:t xml:space="preserve"> </w:t>
      </w:r>
      <w:r>
        <w:rPr>
          <w:rFonts w:ascii="Calibri" w:hAnsi="Calibri"/>
          <w:b/>
          <w:bCs/>
          <w:i w:val="false"/>
          <w:iCs w:val="false"/>
          <w:color w:val="000000"/>
          <w:sz w:val="24"/>
          <w:szCs w:val="24"/>
          <w:lang w:eastAsia="en-US"/>
        </w:rPr>
        <w:t>xxxxxx</w:t>
      </w:r>
      <w:r>
        <w:rPr>
          <w:rFonts w:ascii="Calibri" w:hAnsi="Calibri"/>
          <w:i w:val="false"/>
          <w:iCs w:val="false"/>
          <w:color w:val="000000"/>
          <w:sz w:val="24"/>
          <w:szCs w:val="24"/>
          <w:lang w:eastAsia="en-US"/>
        </w:rPr>
        <w:t xml:space="preserve"> (</w:t>
      </w:r>
      <w:r>
        <w:rPr>
          <w:rFonts w:ascii="Calibri" w:hAnsi="Calibri"/>
          <w:b/>
          <w:bCs/>
          <w:i w:val="false"/>
          <w:iCs w:val="false"/>
          <w:color w:val="000000"/>
          <w:sz w:val="24"/>
          <w:szCs w:val="24"/>
          <w:lang w:eastAsia="en-US"/>
        </w:rPr>
        <w:t>xxxxxxxxx</w:t>
      </w:r>
      <w:r>
        <w:rPr>
          <w:rFonts w:ascii="Calibri" w:hAnsi="Calibri"/>
          <w:i w:val="false"/>
          <w:iCs w:val="false"/>
          <w:color w:val="000000"/>
          <w:sz w:val="24"/>
          <w:szCs w:val="24"/>
          <w:lang w:eastAsia="en-US"/>
        </w:rPr>
        <w:t>),</w:t>
      </w:r>
      <w:r>
        <w:rPr>
          <w:rFonts w:ascii="Calibri" w:hAnsi="Calibri"/>
          <w:i w:val="false"/>
          <w:iCs w:val="false"/>
          <w:color w:val="000000"/>
          <w:sz w:val="24"/>
          <w:szCs w:val="24"/>
        </w:rPr>
        <w:t xml:space="preserve"> </w:t>
      </w:r>
      <w:r>
        <w:rPr>
          <w:rFonts w:ascii="Calibri" w:hAnsi="Calibri"/>
          <w:i w:val="false"/>
          <w:iCs w:val="false"/>
          <w:color w:val="000000"/>
          <w:sz w:val="24"/>
          <w:szCs w:val="24"/>
          <w:lang w:eastAsia="en-US"/>
        </w:rPr>
        <w:t>perfazendo o valor total de R$</w:t>
      </w:r>
      <w:r>
        <w:rPr>
          <w:rFonts w:ascii="Calibri" w:hAnsi="Calibri"/>
          <w:i w:val="false"/>
          <w:iCs w:val="false"/>
          <w:color w:val="000000"/>
          <w:sz w:val="24"/>
          <w:szCs w:val="24"/>
        </w:rPr>
        <w:t xml:space="preserve"> </w:t>
      </w:r>
      <w:r>
        <w:rPr>
          <w:rFonts w:ascii="Calibri" w:hAnsi="Calibri"/>
          <w:b/>
          <w:bCs/>
          <w:i w:val="false"/>
          <w:iCs w:val="false"/>
          <w:color w:val="000000"/>
          <w:sz w:val="24"/>
          <w:szCs w:val="24"/>
          <w:lang w:eastAsia="en-US"/>
        </w:rPr>
        <w:t>xxxxxx</w:t>
      </w:r>
      <w:r>
        <w:rPr>
          <w:rFonts w:ascii="Calibri" w:hAnsi="Calibri"/>
          <w:i w:val="false"/>
          <w:iCs w:val="false"/>
          <w:color w:val="000000"/>
          <w:sz w:val="24"/>
          <w:szCs w:val="24"/>
          <w:lang w:eastAsia="en-US"/>
        </w:rPr>
        <w:t xml:space="preserve"> (</w:t>
      </w:r>
      <w:r>
        <w:rPr>
          <w:rFonts w:ascii="Calibri" w:hAnsi="Calibri"/>
          <w:b/>
          <w:bCs/>
          <w:i w:val="false"/>
          <w:iCs w:val="false"/>
          <w:color w:val="000000"/>
          <w:sz w:val="24"/>
          <w:szCs w:val="24"/>
          <w:lang w:eastAsia="en-US"/>
        </w:rPr>
        <w:t>xxxxxxxxx</w:t>
      </w:r>
      <w:r>
        <w:rPr>
          <w:rFonts w:ascii="Calibri" w:hAnsi="Calibri"/>
          <w:i w:val="false"/>
          <w:iCs w:val="false"/>
          <w:color w:val="000000"/>
          <w:sz w:val="24"/>
          <w:szCs w:val="24"/>
          <w:lang w:eastAsia="en-US"/>
        </w:rPr>
        <w:t>).</w:t>
      </w:r>
    </w:p>
    <w:p>
      <w:pPr>
        <w:pStyle w:val="Nivel2"/>
        <w:numPr>
          <w:ilvl w:val="1"/>
          <w:numId w:val="1"/>
        </w:numPr>
        <w:spacing w:lineRule="auto" w:line="240" w:before="0" w:after="0"/>
        <w:ind w:left="0" w:hanging="0"/>
        <w:contextualSpacing/>
        <w:rPr>
          <w:rFonts w:ascii="Calibri" w:hAnsi="Calibri"/>
          <w:i w:val="false"/>
          <w:i w:val="false"/>
          <w:iCs w:val="false"/>
          <w:color w:val="000000"/>
          <w:sz w:val="24"/>
          <w:szCs w:val="24"/>
        </w:rPr>
      </w:pPr>
      <w:r>
        <w:rPr>
          <w:rFonts w:ascii="Calibri" w:hAnsi="Calibri"/>
          <w:i w:val="false"/>
          <w:iCs w:val="false"/>
          <w:color w:val="000000"/>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
        </w:numPr>
        <w:spacing w:lineRule="auto" w:line="240" w:before="0" w:after="0"/>
        <w:ind w:left="0" w:hanging="0"/>
        <w:contextualSpacing/>
        <w:rPr>
          <w:rFonts w:ascii="Calibri" w:hAnsi="Calibri"/>
          <w:i w:val="false"/>
          <w:i w:val="false"/>
          <w:iCs w:val="false"/>
          <w:color w:val="000000"/>
          <w:sz w:val="24"/>
          <w:szCs w:val="24"/>
        </w:rPr>
      </w:pPr>
      <w:commentRangeStart w:id="6"/>
      <w:r>
        <w:rPr>
          <w:rFonts w:ascii="Calibri" w:hAnsi="Calibri"/>
          <w:i w:val="false"/>
          <w:iCs w:val="false"/>
          <w:color w:val="000000"/>
          <w:sz w:val="24"/>
          <w:szCs w:val="24"/>
        </w:rPr>
        <w:t>O valor acima é meramente estimativo, de forma que os pagamentos devidos ao CONTRATADO dependerão dos quantitativos efetivamente fornecidos.</w:t>
      </w:r>
    </w:p>
    <w:p>
      <w:pPr>
        <w:pStyle w:val="Nvel2Red"/>
        <w:numPr>
          <w:ilvl w:val="0"/>
          <w:numId w:val="0"/>
        </w:numPr>
        <w:spacing w:lineRule="auto" w:line="240" w:before="0" w:after="0"/>
        <w:ind w:left="1283" w:hanging="0"/>
        <w:contextualSpacing/>
        <w:rPr>
          <w:rFonts w:ascii="Calibri" w:hAnsi="Calibri"/>
          <w:color w:val="000000"/>
          <w:sz w:val="24"/>
          <w:szCs w:val="24"/>
        </w:rPr>
      </w:pPr>
      <w:commentRangeEnd w:id="6"/>
      <w:r>
        <w:commentReference w:id="6"/>
      </w: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SEXTA - PAGAMENTO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O prazo para pagamento </w:t>
      </w:r>
      <w:r>
        <w:rPr>
          <w:rFonts w:ascii="Calibri" w:hAnsi="Calibri"/>
          <w:color w:val="000000"/>
          <w:sz w:val="24"/>
          <w:szCs w:val="24"/>
          <w:lang w:eastAsia="en-US"/>
        </w:rPr>
        <w:t>ao CONTRATADO</w:t>
      </w:r>
      <w:r>
        <w:rPr>
          <w:rFonts w:ascii="Calibri" w:hAnsi="Calibri"/>
          <w:color w:val="000000"/>
          <w:sz w:val="24"/>
          <w:szCs w:val="24"/>
        </w:rPr>
        <w:t xml:space="preserve"> e demais condições a ele referentes, inclusive quanto à utilização da Conta-Depósito Vinculada - bloqueada para movimentação ou do </w:t>
      </w:r>
      <w:r>
        <w:rPr>
          <w:rFonts w:ascii="Calibri" w:hAnsi="Calibri"/>
          <w:color w:val="000000"/>
          <w:sz w:val="24"/>
          <w:szCs w:val="24"/>
        </w:rPr>
        <w:t>Pagamento pelo Fato Gerador</w:t>
      </w:r>
      <w:r>
        <w:rPr>
          <w:rFonts w:ascii="Calibri" w:hAnsi="Calibri"/>
          <w:color w:val="000000"/>
          <w:sz w:val="24"/>
          <w:szCs w:val="24"/>
        </w:rPr>
        <w:t>, encontram-se definidos no Termo de Referência, anexo a este Contrato.</w:t>
      </w:r>
    </w:p>
    <w:p>
      <w:pPr>
        <w:pStyle w:val="Nivel2"/>
        <w:numPr>
          <w:ilvl w:val="0"/>
          <w:numId w:val="0"/>
        </w:numPr>
        <w:spacing w:lineRule="auto" w:line="240" w:before="0" w:after="0"/>
        <w:ind w:left="1283" w:hanging="0"/>
        <w:contextualSpacing/>
        <w:rPr>
          <w:rFonts w:ascii="Calibri" w:hAnsi="Calibri"/>
          <w:color w:val="000000"/>
          <w:sz w:val="24"/>
          <w:szCs w:val="24"/>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SÉTIMA - REPACTUAÇÃO DOS PREÇOS CONTRATADOS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As regras acerca da repactuação dos preços contratados são aquelas definidas no Termo de Referência, anexo a este Contrato.</w:t>
      </w:r>
    </w:p>
    <w:p>
      <w:pPr>
        <w:pStyle w:val="Nivel2"/>
        <w:numPr>
          <w:ilvl w:val="0"/>
          <w:numId w:val="0"/>
        </w:numPr>
        <w:spacing w:lineRule="auto" w:line="240" w:before="0" w:after="0"/>
        <w:ind w:left="1283" w:hanging="0"/>
        <w:contextualSpacing/>
        <w:rPr>
          <w:highlight w:val="yellow"/>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OITAVA - OBRIGAÇÕES DO CONTRATANTE</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São obrigações do CONTRATANTE:</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Exigir o cumprimento de todas as obrigações assumidas pelo CONTRATADO, de acordo com o contrato e seus anexos;</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Receber o objeto no prazo e condições estabelecidas no Termo de Referência;</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highlight w:val="yellow"/>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Acompanhar e fiscalizar a execução do contrato e o cumprimento das obrigações pelo CONTRATADO;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Efetuar o pagamento ao CONTRATADO do valor correspondente à execução do objeto, no prazo, forma e condições estabelecidos no presente Contrato e no Termo de Referência;</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Aplicar ao CONTRATADO as sanções previstas na lei e neste Contrato;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Não praticar atos de ingerência na administração do CONTRATADO, tais como:</w:t>
      </w:r>
    </w:p>
    <w:p>
      <w:pPr>
        <w:pStyle w:val="Nivel4"/>
        <w:numPr>
          <w:ilvl w:val="3"/>
          <w:numId w:val="1"/>
        </w:numPr>
        <w:spacing w:lineRule="auto" w:line="240" w:before="0" w:after="0"/>
        <w:ind w:left="567" w:hanging="0"/>
        <w:contextualSpacing/>
        <w:rPr>
          <w:rFonts w:ascii="Calibri" w:hAnsi="Calibri"/>
          <w:color w:val="000000"/>
          <w:sz w:val="24"/>
          <w:szCs w:val="24"/>
        </w:rPr>
      </w:pPr>
      <w:r>
        <w:rPr>
          <w:rFonts w:ascii="Calibri" w:hAnsi="Calibri"/>
          <w:color w:val="000000"/>
          <w:sz w:val="24"/>
          <w:szCs w:val="24"/>
        </w:rPr>
        <w:t>indicar pessoas expressamente nominadas para executar direta ou indiretamente o objeto contratado;</w:t>
      </w:r>
    </w:p>
    <w:p>
      <w:pPr>
        <w:pStyle w:val="Nivel4"/>
        <w:numPr>
          <w:ilvl w:val="3"/>
          <w:numId w:val="1"/>
        </w:numPr>
        <w:spacing w:lineRule="auto" w:line="240" w:before="0" w:after="0"/>
        <w:ind w:left="567" w:hanging="0"/>
        <w:contextualSpacing/>
        <w:rPr>
          <w:rFonts w:ascii="Calibri" w:hAnsi="Calibri"/>
          <w:color w:val="000000"/>
          <w:sz w:val="24"/>
          <w:szCs w:val="24"/>
        </w:rPr>
      </w:pPr>
      <w:r>
        <w:rPr>
          <w:rFonts w:ascii="Calibri" w:hAnsi="Calibri"/>
          <w:color w:val="000000"/>
          <w:sz w:val="24"/>
          <w:szCs w:val="24"/>
        </w:rPr>
        <w:t>fixar salário inferior ao definido em lei ou em ato normativo a ser pago pelo CONTRATADO;</w:t>
      </w:r>
    </w:p>
    <w:p>
      <w:pPr>
        <w:pStyle w:val="Nivel4"/>
        <w:numPr>
          <w:ilvl w:val="3"/>
          <w:numId w:val="1"/>
        </w:numPr>
        <w:spacing w:lineRule="auto" w:line="240" w:before="0" w:after="0"/>
        <w:ind w:left="567" w:hanging="0"/>
        <w:contextualSpacing/>
        <w:rPr>
          <w:rFonts w:ascii="Calibri" w:hAnsi="Calibri"/>
          <w:color w:val="000000"/>
          <w:sz w:val="24"/>
          <w:szCs w:val="24"/>
        </w:rPr>
      </w:pPr>
      <w:r>
        <w:rPr>
          <w:rFonts w:ascii="Calibri" w:hAnsi="Calibri"/>
          <w:color w:val="000000"/>
          <w:sz w:val="24"/>
          <w:szCs w:val="24"/>
        </w:rPr>
        <w:t xml:space="preserve"> </w:t>
      </w:r>
      <w:r>
        <w:rPr>
          <w:rFonts w:ascii="Calibri" w:hAnsi="Calibri"/>
          <w:color w:val="000000"/>
          <w:sz w:val="24"/>
          <w:szCs w:val="24"/>
        </w:rPr>
        <w:t>estabelecer vínculo de subordinação com funcionário do CONTRATADO;</w:t>
      </w:r>
    </w:p>
    <w:p>
      <w:pPr>
        <w:pStyle w:val="Nivel4"/>
        <w:numPr>
          <w:ilvl w:val="3"/>
          <w:numId w:val="1"/>
        </w:numPr>
        <w:spacing w:lineRule="auto" w:line="240" w:before="0" w:after="0"/>
        <w:ind w:left="567" w:hanging="0"/>
        <w:contextualSpacing/>
        <w:rPr>
          <w:rFonts w:ascii="Calibri" w:hAnsi="Calibri"/>
          <w:color w:val="000000"/>
          <w:sz w:val="24"/>
          <w:szCs w:val="24"/>
        </w:rPr>
      </w:pPr>
      <w:r>
        <w:rPr>
          <w:rFonts w:ascii="Calibri" w:hAnsi="Calibri"/>
          <w:color w:val="000000"/>
          <w:sz w:val="24"/>
          <w:szCs w:val="24"/>
        </w:rPr>
        <w:t>definir forma de pagamento mediante exclusivo reembolso dos salários pagos;</w:t>
      </w:r>
    </w:p>
    <w:p>
      <w:pPr>
        <w:pStyle w:val="Nivel4"/>
        <w:numPr>
          <w:ilvl w:val="3"/>
          <w:numId w:val="1"/>
        </w:numPr>
        <w:spacing w:lineRule="auto" w:line="240" w:before="0" w:after="0"/>
        <w:ind w:left="567" w:hanging="0"/>
        <w:contextualSpacing/>
        <w:rPr>
          <w:rFonts w:ascii="Calibri" w:hAnsi="Calibri"/>
          <w:color w:val="000000"/>
          <w:sz w:val="24"/>
          <w:szCs w:val="24"/>
        </w:rPr>
      </w:pPr>
      <w:r>
        <w:rPr>
          <w:rFonts w:ascii="Calibri" w:hAnsi="Calibri"/>
          <w:color w:val="000000"/>
          <w:sz w:val="24"/>
          <w:szCs w:val="24"/>
        </w:rPr>
        <w:t>demandar a funcionário do CONTRATADO a execução de tarefas fora do escopo do objeto da contratação; e</w:t>
      </w:r>
    </w:p>
    <w:p>
      <w:pPr>
        <w:pStyle w:val="Nivel4"/>
        <w:numPr>
          <w:ilvl w:val="3"/>
          <w:numId w:val="1"/>
        </w:numPr>
        <w:spacing w:lineRule="auto" w:line="240" w:before="0" w:after="0"/>
        <w:ind w:left="567" w:hanging="0"/>
        <w:contextualSpacing/>
        <w:rPr>
          <w:rFonts w:ascii="Calibri" w:hAnsi="Calibri"/>
          <w:color w:val="000000"/>
          <w:sz w:val="24"/>
          <w:szCs w:val="24"/>
        </w:rPr>
      </w:pPr>
      <w:r>
        <w:rPr>
          <w:rFonts w:ascii="Calibri" w:hAnsi="Calibri"/>
          <w:color w:val="000000"/>
          <w:sz w:val="24"/>
          <w:szCs w:val="24"/>
        </w:rPr>
        <w:t>prever exigências que constituam intervenção indevida da Administração na gestão interna do CONTRATADO.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Cientificar o órgão de representação judicial da Advocacia-Geral da União para adoção das medidas cabíveis quando do descumprimento de obrigações pelo CONTRATADO;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
        </w:numPr>
        <w:spacing w:lineRule="auto" w:line="240" w:before="0" w:after="0"/>
        <w:ind w:left="567" w:hanging="0"/>
        <w:contextualSpacing/>
        <w:rPr>
          <w:rFonts w:ascii="Calibri" w:hAnsi="Calibri"/>
          <w:color w:val="000000"/>
          <w:sz w:val="24"/>
          <w:szCs w:val="24"/>
        </w:rPr>
      </w:pPr>
      <w:bookmarkStart w:id="9" w:name="_Ref128062899"/>
      <w:commentRangeStart w:id="7"/>
      <w:r>
        <w:rPr>
          <w:rFonts w:ascii="Calibri" w:hAnsi="Calibri"/>
          <w:color w:val="000000"/>
          <w:sz w:val="24"/>
          <w:szCs w:val="24"/>
        </w:rPr>
        <w:t>A Administração terá o prazo de</w:t>
      </w:r>
      <w:r>
        <w:rPr>
          <w:rFonts w:ascii="Calibri" w:hAnsi="Calibri"/>
          <w:i/>
          <w:iCs/>
          <w:color w:val="000000"/>
          <w:sz w:val="24"/>
          <w:szCs w:val="24"/>
        </w:rPr>
        <w:t xml:space="preserve"> </w:t>
      </w:r>
      <w:r>
        <w:rPr>
          <w:rFonts w:eastAsia="ＭＳ 明朝" w:cs="Arial" w:ascii="Calibri" w:hAnsi="Calibri"/>
          <w:i/>
          <w:iCs/>
          <w:color w:val="000000"/>
          <w:kern w:val="0"/>
          <w:sz w:val="24"/>
          <w:szCs w:val="24"/>
          <w:lang w:val="pt-BR" w:eastAsia="pt-BR" w:bidi="ar-SA"/>
        </w:rPr>
        <w:t>30 (trinta) dias</w:t>
      </w:r>
      <w:r>
        <w:rPr>
          <w:rFonts w:ascii="Calibri" w:hAnsi="Calibri"/>
          <w:color w:val="000000"/>
          <w:sz w:val="24"/>
          <w:szCs w:val="24"/>
        </w:rPr>
        <w:t>, a contar da data do protocolo do requerimento para decidir, admitida a prorrogação motivada, por igual período.</w:t>
      </w:r>
      <w:bookmarkEnd w:id="9"/>
      <w:commentRangeEnd w:id="7"/>
      <w:r>
        <w:commentReference w:id="7"/>
      </w:r>
      <w:r>
        <w:rPr>
          <w:rFonts w:ascii="Calibri" w:hAnsi="Calibri"/>
          <w:color w:val="000000"/>
          <w:sz w:val="24"/>
          <w:szCs w:val="24"/>
        </w:rPr>
      </w:r>
    </w:p>
    <w:p>
      <w:pPr>
        <w:pStyle w:val="Nivel3"/>
        <w:numPr>
          <w:ilvl w:val="2"/>
          <w:numId w:val="1"/>
        </w:numPr>
        <w:spacing w:lineRule="auto" w:line="240" w:before="0" w:after="0"/>
        <w:ind w:left="284" w:hanging="0"/>
        <w:contextualSpacing/>
        <w:rPr>
          <w:rFonts w:ascii="Calibri" w:hAnsi="Calibri"/>
          <w:color w:val="000000"/>
          <w:sz w:val="24"/>
          <w:szCs w:val="24"/>
        </w:rPr>
      </w:pPr>
      <w:commentRangeStart w:id="8"/>
      <w:r>
        <w:rPr>
          <w:rFonts w:ascii="Calibri" w:hAnsi="Calibri"/>
          <w:color w:val="000000"/>
          <w:sz w:val="24"/>
          <w:szCs w:val="24"/>
        </w:rPr>
        <w:t xml:space="preserve">Responder eventuais pedidos de reestabelecimento do equilíbrio econômico-financeiro feitos pelo CONTRATADO no prazo máximo de </w:t>
      </w:r>
      <w:r>
        <w:rPr>
          <w:rFonts w:eastAsia="ＭＳ 明朝" w:cs="Arial" w:ascii="Calibri" w:hAnsi="Calibri"/>
          <w:i/>
          <w:iCs/>
          <w:color w:val="000000"/>
          <w:kern w:val="0"/>
          <w:sz w:val="24"/>
          <w:szCs w:val="24"/>
          <w:lang w:val="pt-BR" w:eastAsia="pt-BR" w:bidi="ar-SA"/>
        </w:rPr>
        <w:t>60 (sessenta) dias</w:t>
      </w:r>
      <w:r>
        <w:rPr>
          <w:rFonts w:ascii="Calibri" w:hAnsi="Calibri"/>
          <w:color w:val="000000"/>
          <w:sz w:val="24"/>
          <w:szCs w:val="24"/>
        </w:rPr>
        <w:t>;</w:t>
      </w:r>
      <w:commentRangeEnd w:id="8"/>
      <w:r>
        <w:commentReference w:id="8"/>
      </w:r>
      <w:r>
        <w:rPr>
          <w:rFonts w:ascii="Calibri" w:hAnsi="Calibri"/>
          <w:color w:val="000000"/>
          <w:sz w:val="24"/>
          <w:szCs w:val="24"/>
        </w:rPr>
      </w:r>
    </w:p>
    <w:p>
      <w:pPr>
        <w:pStyle w:val="Nvel3R"/>
        <w:numPr>
          <w:ilvl w:val="2"/>
          <w:numId w:val="1"/>
        </w:numPr>
        <w:spacing w:lineRule="auto" w:line="240" w:before="0" w:after="0"/>
        <w:ind w:left="284" w:hanging="0"/>
        <w:contextualSpacing/>
        <w:rPr>
          <w:rFonts w:ascii="Calibri" w:hAnsi="Calibri"/>
          <w:color w:val="000000"/>
          <w:sz w:val="24"/>
          <w:szCs w:val="24"/>
        </w:rPr>
      </w:pPr>
      <w:bookmarkStart w:id="10" w:name="_Hlk114499841"/>
      <w:bookmarkEnd w:id="10"/>
      <w:commentRangeStart w:id="9"/>
      <w:r>
        <w:rPr>
          <w:rFonts w:ascii="Calibri" w:hAnsi="Calibri"/>
          <w:color w:val="000000"/>
          <w:sz w:val="24"/>
          <w:szCs w:val="24"/>
        </w:rPr>
        <w:t>Notificar os emitentes das garantias quanto ao início de processo administrativo para apuração de descumprimento de cláusulas contratuais</w:t>
      </w:r>
      <w:r>
        <w:rPr>
          <w:rFonts w:ascii="Calibri" w:hAnsi="Calibri"/>
          <w:color w:val="000000"/>
          <w:sz w:val="24"/>
          <w:szCs w:val="24"/>
        </w:rPr>
      </w:r>
      <w:commentRangeEnd w:id="9"/>
      <w:r>
        <w:commentReference w:id="9"/>
      </w:r>
      <w:r>
        <w:rPr>
          <w:rFonts w:ascii="Calibri" w:hAnsi="Calibri"/>
          <w:color w:val="000000"/>
          <w:sz w:val="24"/>
          <w:szCs w:val="24"/>
        </w:rPr>
        <w:t>;</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Comunicar o CONTRATADO na hipótese de posterior alteração do projeto pelo CONTRATANTE, no caso do art. 93, §2º, da Lei nº 14.133, de 2021.</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0"/>
          <w:numId w:val="0"/>
        </w:numPr>
        <w:spacing w:lineRule="auto" w:line="240" w:before="0" w:after="0"/>
        <w:ind w:left="1283" w:hanging="0"/>
        <w:contextualSpacing/>
        <w:rPr>
          <w:rFonts w:ascii="Calibri" w:hAnsi="Calibri"/>
          <w:color w:val="000000"/>
          <w:sz w:val="24"/>
          <w:szCs w:val="24"/>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commentRangeStart w:id="10"/>
      <w:r>
        <w:rPr>
          <w:rFonts w:ascii="Calibri" w:hAnsi="Calibri"/>
          <w:color w:val="000000"/>
          <w:sz w:val="24"/>
          <w:szCs w:val="24"/>
        </w:rPr>
        <w:t>CLÁUSULA NONA - OBRIGAÇÕES DO CONTRATADO</w:t>
      </w:r>
      <w:commentRangeEnd w:id="10"/>
      <w:r>
        <w:commentReference w:id="10"/>
      </w:r>
      <w:r>
        <w:rPr>
          <w:rFonts w:ascii="Calibri" w:hAnsi="Calibri"/>
          <w:color w:val="000000"/>
          <w:sz w:val="24"/>
          <w:szCs w:val="24"/>
        </w:rPr>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themeColor="text1"/>
          <w:sz w:val="24"/>
          <w:szCs w:val="24"/>
        </w:rPr>
        <w:t xml:space="preserve">Atender </w:t>
      </w:r>
      <w:r>
        <w:rPr>
          <w:rFonts w:ascii="Calibri" w:hAnsi="Calibri"/>
          <w:color w:val="000000"/>
          <w:sz w:val="24"/>
          <w:szCs w:val="24"/>
        </w:rPr>
        <w:t>às</w:t>
      </w:r>
      <w:r>
        <w:rPr>
          <w:rFonts w:ascii="Calibri" w:hAnsi="Calibri"/>
          <w:color w:val="000000" w:themeColor="text1"/>
          <w:sz w:val="24"/>
          <w:szCs w:val="24"/>
        </w:rPr>
        <w:t xml:space="preserve"> determinações regulares emitidas pelo fiscal ou gestor do contrato ou autoridade superior e </w:t>
      </w:r>
      <w:r>
        <w:rPr>
          <w:rFonts w:ascii="Calibri" w:hAnsi="Calibri"/>
          <w:color w:val="000000"/>
          <w:sz w:val="24"/>
          <w:szCs w:val="24"/>
        </w:rPr>
        <w:t>prestar todo esclarecimento ou informação por eles solicitados</w:t>
      </w:r>
      <w:r>
        <w:rPr>
          <w:rFonts w:ascii="Calibri" w:hAnsi="Calibri"/>
          <w:color w:val="000000" w:themeColor="text1"/>
          <w:sz w:val="24"/>
          <w:szCs w:val="24"/>
        </w:rPr>
        <w:t>;</w:t>
      </w:r>
    </w:p>
    <w:p>
      <w:pPr>
        <w:pStyle w:val="Nivel2"/>
        <w:numPr>
          <w:ilvl w:val="1"/>
          <w:numId w:val="1"/>
        </w:numPr>
        <w:spacing w:lineRule="auto" w:line="240" w:before="0" w:after="0"/>
        <w:ind w:left="0" w:hanging="0"/>
        <w:contextualSpacing/>
        <w:rPr>
          <w:rFonts w:ascii="Calibri" w:hAnsi="Calibri"/>
          <w:color w:val="000000"/>
          <w:sz w:val="24"/>
          <w:szCs w:val="24"/>
        </w:rPr>
      </w:pPr>
      <w:commentRangeStart w:id="11"/>
      <w:r>
        <w:rPr>
          <w:rFonts w:ascii="Calibri" w:hAnsi="Calibri"/>
          <w:color w:val="000000"/>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1"/>
      <w:r>
        <w:commentReference w:id="11"/>
      </w:r>
      <w:r>
        <w:rPr>
          <w:rFonts w:ascii="Calibri" w:hAnsi="Calibri"/>
          <w:color w:val="000000"/>
          <w:sz w:val="24"/>
          <w:szCs w:val="24"/>
        </w:rPr>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prova de regularidade relativa à Seguridade Social;</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certidão conjunta relativa aos tributos federais e à Dívida Ativa da União;</w:t>
      </w:r>
    </w:p>
    <w:p>
      <w:pPr>
        <w:pStyle w:val="Nivel3"/>
        <w:numPr>
          <w:ilvl w:val="2"/>
          <w:numId w:val="1"/>
        </w:numPr>
        <w:spacing w:lineRule="auto" w:line="240" w:before="0" w:after="0"/>
        <w:ind w:left="284" w:hanging="0"/>
        <w:contextualSpacing/>
        <w:rPr>
          <w:rFonts w:ascii="Calibri" w:hAnsi="Calibri"/>
          <w:color w:val="000000"/>
          <w:sz w:val="24"/>
          <w:szCs w:val="24"/>
        </w:rPr>
      </w:pPr>
      <w:commentRangeStart w:id="12"/>
      <w:r>
        <w:rPr>
          <w:rFonts w:ascii="Calibri" w:hAnsi="Calibri"/>
          <w:color w:val="000000"/>
          <w:sz w:val="24"/>
          <w:szCs w:val="24"/>
        </w:rPr>
        <w:t>certidões que comprovem a regularidade perante a Fazenda Municipal ou Distrital do domicílio ou sede do CONTRATADO</w:t>
      </w:r>
      <w:r>
        <w:rPr>
          <w:rFonts w:ascii="Calibri" w:hAnsi="Calibri"/>
          <w:color w:val="000000"/>
          <w:sz w:val="24"/>
          <w:szCs w:val="24"/>
        </w:rPr>
      </w:r>
      <w:commentRangeEnd w:id="12"/>
      <w:r>
        <w:commentReference w:id="12"/>
      </w:r>
      <w:r>
        <w:rPr>
          <w:rFonts w:ascii="Calibri" w:hAnsi="Calibri"/>
          <w:color w:val="000000"/>
          <w:sz w:val="24"/>
          <w:szCs w:val="24"/>
        </w:rPr>
        <w:t xml:space="preserve">; </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Certidão de Regularidade do FGTS – CRF; e</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Certidão Negativa de Débitos Trabalhistas – CNDT.</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Paralisar, por determinação do CONTRATANTE, qualquer atividade que não esteja sendo executada de acordo com a boa técnica ou que ponha em risco a segurança de pessoas ou bens de terceiros;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Manter durante toda a vigência do contrato, em compatibilidade com as obrigações assumidas, todas as condições exigidas para habilitação na licitação;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Comprovar a reserva de cargos a que se refere a cláusula acima, no prazo fixado pelo fiscal do contrato, com a indicação dos empregados que preencheram as referidas vagas;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Guardar sigilo sobre todas as informações obtidas em decorrência do cumprimento do contrato;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Cumprir, além dos postulados legais vigentes de âmbito federal, estadual ou municipal, as normas de segurança do CONTRATANTE;</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Alocar os empregados necessários ao perfeito cumprimento das cláusulas deste contrato, com habilitação e conhecimento adequados;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Prestar os serviços dentro dos parâmetros e rotinas estabelecidos;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Cumprir as normas de proteção ao trabalho, inclusive aquelas relativas à segurança e à saúde no trabalho;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Não submeter os trabalhadores a condições degradantes de trabalho, jornadas exaustivas, servidão por dívida ou trabalhos forçados;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Não permitir a utilização de qualquer trabalho do menor de dezesseis anos de idade, exceto na condição de aprendiz para os maiores de quatorze anos de idade, observada a legislação pertinente;</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Receber e dar o tratamento adequado a denúncias de discriminação, violência e assédio no ambiente de trabalho;</w:t>
      </w:r>
      <w:bookmarkStart w:id="11" w:name="_Hlk182221417"/>
      <w:bookmarkEnd w:id="11"/>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Assegurar aos trabalhadores alocados à prestação do serviço a previsibilidade da época de gozo de suas férias, com vistas a conciliar o direito ao descanso e à garantia do convívio familiar com as necessidades do serviço;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Manter preposto aceito pela Administração no local da obra ou do serviço para representá-lo na execução do contrato;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Promover a guarda, manutenção e vigilância de materiais, ferramentas, e tudo o que for necessário à execução do objeto, durante a vigência do contrato;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Assegurar aos seus trabalhadores ambiente de trabalho e instalações em condições adequadas ao cumprimento das normas de saúde, segurança e bem-estar no trabalho;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Fornecer equipamentos de proteção individual (EPI) e equipamentos de proteção coletiva (EPC),quando for o caso;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Garantir o acesso do CONTRATANTE, a qualquer tempo, ao local dos trabalhos, bem como aos documentos relativos à execução do contrato;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Instruir seus empregados quanto à necessidade de acatar as normas internas da Administração;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Vedar a utilização, na execução dos serviços, de empregado que seja familiar de agente público ocupante de cargo em comissão ou função de confiança no órgão contratante, nos termos do artigo 7° do Decreto n° 7.203, de 2010;</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Disponibilizar ao CONTRATANTE os empregados devidamente uniformizados e identificados por meio de crachá, além de provê-los com os Equipamentos de Proteção Individual - EPI, quando for o caso;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Fornecer os uniformes a serem utilizados por seus empregados, conforme disposto no Termo de Referência, sem repassar quaisquer custos a estes;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Apresentar relação mensal dos empregados que expressamente optarem por não receber o vale-transporte;</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Não permitir que o empregado designado para trabalhar em um turno preste seus serviços no turno imediatamente subsequente;</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Instruir seus empregados, no início da execução contratual, quanto à obtenção das informações de seus interesses junto aos órgãos públicos, relativas ao contrato de trabalho e obrigações a ele inerentes, adotando, entre outras, as seguintes medidas: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Viabilizar a emissão do cartão cidadão pela Caixa Econômica Federal para todos os empregados, no prazo máximo de 60 (sessenta) dias, contados do início da prestação dos serviços ou da admissão do empregado;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Oferecer todos os meios necessários aos seus empregados para a obtenção de extratos de recolhimentos de seus direitos sociais, preferencialmente por meio eletrônico, quando disponível.</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Não se beneficiar da condição de optante pelo Simples Nacional, salvo quando se tratar das exceções previstas no § 5º-C do art. 18 da Lei Complementar nº 123, de 14 de dezembro de 2006; </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pPr>
        <w:pStyle w:val="Nvel2Red"/>
        <w:numPr>
          <w:ilvl w:val="1"/>
          <w:numId w:val="1"/>
        </w:numPr>
        <w:spacing w:lineRule="auto" w:line="240" w:before="0" w:after="0"/>
        <w:ind w:left="0" w:hanging="0"/>
        <w:contextualSpacing/>
        <w:rPr>
          <w:rFonts w:ascii="Calibri" w:hAnsi="Calibri"/>
          <w:strike/>
          <w:color w:val="000000"/>
          <w:sz w:val="24"/>
          <w:szCs w:val="24"/>
        </w:rPr>
      </w:pPr>
      <w:r>
        <w:rPr>
          <w:rFonts w:ascii="Calibri" w:hAnsi="Calibri"/>
          <w:strike w:val="false"/>
          <w:dstrike w:val="false"/>
          <w:color w:val="000000"/>
          <w:sz w:val="24"/>
          <w:szCs w:val="24"/>
        </w:rPr>
        <w:t>(SUPRESSÃO)</w:t>
      </w:r>
      <w:r>
        <w:rPr>
          <w:rFonts w:ascii="Calibri" w:hAnsi="Calibri"/>
          <w:strike/>
          <w:color w:val="000000"/>
          <w:sz w:val="24"/>
          <w:szCs w:val="24"/>
        </w:rPr>
        <w:t xml:space="preserve"> </w:t>
      </w:r>
      <w:commentRangeStart w:id="13"/>
      <w:r>
        <w:rPr>
          <w:rFonts w:ascii="Calibri" w:hAnsi="Calibri"/>
          <w:strike/>
          <w:color w:val="000000"/>
          <w:sz w:val="24"/>
          <w:szCs w:val="24"/>
        </w:rPr>
        <w:t>Realizar os serviços de manutenção e assistência técnica no(s) seguinte(s) local(is) ... (inserir endereço(s));</w:t>
      </w:r>
    </w:p>
    <w:p>
      <w:pPr>
        <w:pStyle w:val="Nvel2Red"/>
        <w:numPr>
          <w:ilvl w:val="1"/>
          <w:numId w:val="1"/>
        </w:numPr>
        <w:spacing w:lineRule="auto" w:line="240" w:before="0" w:after="0"/>
        <w:ind w:left="0" w:hanging="0"/>
        <w:contextualSpacing/>
        <w:rPr>
          <w:rFonts w:ascii="Calibri" w:hAnsi="Calibri"/>
          <w:strike/>
          <w:color w:val="000000"/>
          <w:sz w:val="24"/>
          <w:szCs w:val="24"/>
        </w:rPr>
      </w:pPr>
      <w:bookmarkStart w:id="12" w:name="_Ref118293030"/>
      <w:r>
        <w:rPr>
          <w:rFonts w:ascii="Calibri" w:hAnsi="Calibri"/>
          <w:strike/>
          <w:color w:val="000000"/>
          <w:sz w:val="24"/>
          <w:szCs w:val="24"/>
        </w:rPr>
        <w:t>O técnico deverá se deslocar ao local da repartição, salvo se o CONTRATADO tiver unidade de prestação de serviços em distância de [....] (inserir distância conforme avaliação técnica) do local demandado</w:t>
      </w:r>
      <w:bookmarkEnd w:id="12"/>
      <w:r>
        <w:rPr>
          <w:rFonts w:ascii="Calibri" w:hAnsi="Calibri"/>
          <w:strike/>
          <w:color w:val="000000"/>
          <w:sz w:val="24"/>
          <w:szCs w:val="24"/>
        </w:rPr>
      </w:r>
      <w:commentRangeEnd w:id="13"/>
      <w:r>
        <w:commentReference w:id="13"/>
      </w:r>
      <w:r>
        <w:rPr>
          <w:rFonts w:ascii="Calibri" w:hAnsi="Calibri"/>
          <w:strike/>
          <w:color w:val="000000"/>
          <w:sz w:val="24"/>
          <w:szCs w:val="24"/>
        </w:rPr>
        <w:t xml:space="preserve">. </w:t>
      </w:r>
    </w:p>
    <w:p>
      <w:pPr>
        <w:pStyle w:val="Nvel2Red"/>
        <w:numPr>
          <w:ilvl w:val="1"/>
          <w:numId w:val="1"/>
        </w:numPr>
        <w:spacing w:lineRule="auto" w:line="240" w:before="0" w:after="0"/>
        <w:ind w:left="0" w:hanging="0"/>
        <w:contextualSpacing/>
        <w:rPr>
          <w:rFonts w:ascii="Calibri" w:hAnsi="Calibri"/>
          <w:strike/>
          <w:color w:val="000000"/>
          <w:sz w:val="24"/>
          <w:szCs w:val="24"/>
        </w:rPr>
      </w:pPr>
      <w:commentRangeStart w:id="14"/>
      <w:r>
        <w:rPr>
          <w:rFonts w:ascii="Calibri" w:hAnsi="Calibri"/>
          <w:strike/>
          <w:color w:val="000000"/>
          <w:sz w:val="24"/>
          <w:szCs w:val="24"/>
        </w:rPr>
        <w:t>Realizar a transição contratual com transferência de conhecimento, tecnologia e técnicas empregadas, sem perda de informações, podendo exigir, inclusive, a capacitação dos técnicos do CONTRATANTE ou da nova empresa que continuará a execução dos serviços;</w:t>
      </w:r>
      <w:bookmarkStart w:id="13" w:name="_Hlk145931178"/>
      <w:bookmarkEnd w:id="13"/>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strike/>
          <w:color w:val="000000"/>
          <w:sz w:val="24"/>
          <w:szCs w:val="24"/>
        </w:rPr>
        <w:t>Ceder ao CONTRATANTE todos os direitos patrimoniais relativos ao objeto contratado, o qual poderá ser livremente utilizado e/ou alterado em outras ocasiões, sem necessidade de nova autorização do CONTRATADO.</w:t>
      </w:r>
      <w:commentRangeEnd w:id="14"/>
      <w:r>
        <w:commentReference w:id="14"/>
      </w:r>
      <w:r>
        <w:rPr>
          <w:rFonts w:ascii="Calibri" w:hAnsi="Calibri"/>
          <w:color w:val="000000"/>
          <w:sz w:val="24"/>
          <w:szCs w:val="24"/>
        </w:rPr>
      </w:r>
    </w:p>
    <w:p>
      <w:pPr>
        <w:pStyle w:val="Nvel3R"/>
        <w:numPr>
          <w:ilvl w:val="2"/>
          <w:numId w:val="1"/>
        </w:numPr>
        <w:spacing w:lineRule="auto" w:line="240" w:before="0" w:after="0"/>
        <w:ind w:left="284" w:hanging="0"/>
        <w:contextualSpacing/>
        <w:rPr>
          <w:rFonts w:ascii="Calibri" w:hAnsi="Calibri"/>
          <w:strike/>
          <w:color w:val="000000"/>
          <w:sz w:val="24"/>
          <w:szCs w:val="24"/>
        </w:rPr>
      </w:pPr>
      <w:r>
        <w:rPr>
          <w:rFonts w:ascii="Calibri" w:hAnsi="Calibri"/>
          <w:strike/>
          <w:color w:val="000000"/>
          <w:sz w:val="24"/>
          <w:szCs w:val="24"/>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2"/>
        <w:numPr>
          <w:ilvl w:val="1"/>
          <w:numId w:val="1"/>
        </w:numPr>
        <w:spacing w:lineRule="auto" w:line="240" w:before="0" w:after="0"/>
        <w:ind w:left="0" w:hanging="0"/>
        <w:contextualSpacing/>
        <w:rPr>
          <w:rFonts w:ascii="Calibri" w:hAnsi="Calibri"/>
          <w:strike/>
          <w:color w:val="000000"/>
          <w:sz w:val="24"/>
          <w:szCs w:val="24"/>
        </w:rPr>
      </w:pPr>
      <w:commentRangeStart w:id="15"/>
      <w:r>
        <w:rPr>
          <w:rFonts w:ascii="Calibri" w:hAnsi="Calibri"/>
          <w:i/>
          <w:iCs/>
          <w:strike/>
          <w:color w:val="000000"/>
          <w:sz w:val="24"/>
          <w:szCs w:val="24"/>
        </w:rPr>
        <w:t>Nos casos em que haja um número mínimo de vinte e cinco colaboradores alocados no contrato, destinar 8% das vagas exclusivamente para mulheres vítimas de violência doméstica;</w:t>
      </w:r>
      <w:commentRangeEnd w:id="15"/>
      <w:r>
        <w:commentReference w:id="15"/>
      </w:r>
      <w:r>
        <w:rPr>
          <w:rFonts w:ascii="Calibri" w:hAnsi="Calibri"/>
          <w:i/>
          <w:iCs/>
          <w:strike/>
          <w:color w:val="000000"/>
          <w:sz w:val="24"/>
          <w:szCs w:val="24"/>
        </w:rPr>
      </w:r>
    </w:p>
    <w:p>
      <w:pPr>
        <w:pStyle w:val="Nivel3"/>
        <w:numPr>
          <w:ilvl w:val="2"/>
          <w:numId w:val="1"/>
        </w:numPr>
        <w:spacing w:lineRule="auto" w:line="240" w:before="0" w:after="0"/>
        <w:ind w:left="284" w:hanging="0"/>
        <w:contextualSpacing/>
        <w:rPr>
          <w:rFonts w:ascii="Calibri" w:hAnsi="Calibri"/>
          <w:strike/>
          <w:color w:val="000000"/>
          <w:sz w:val="24"/>
          <w:szCs w:val="24"/>
        </w:rPr>
      </w:pPr>
      <w:r>
        <w:rPr>
          <w:rFonts w:ascii="Calibri" w:hAnsi="Calibri"/>
          <w:i/>
          <w:iCs/>
          <w:strike/>
          <w:color w:val="000000"/>
          <w:sz w:val="24"/>
          <w:szCs w:val="24"/>
        </w:rPr>
        <w:t xml:space="preserve">As vagas reservadas serão destinadas prioritariamente para pretas e pardas, na proporção que essas mulheres representarem na unidade da federação da prestação do serviço segundo o último censo do IBGE, que no presente caso corresponde a </w:t>
      </w:r>
      <w:r>
        <w:rPr>
          <w:rFonts w:ascii="Calibri" w:hAnsi="Calibri"/>
          <w:b/>
          <w:bCs/>
          <w:i/>
          <w:iCs/>
          <w:strike/>
          <w:color w:val="000000"/>
          <w:sz w:val="24"/>
          <w:szCs w:val="24"/>
        </w:rPr>
        <w:t>XX</w:t>
      </w:r>
      <w:r>
        <w:rPr>
          <w:rFonts w:ascii="Calibri" w:hAnsi="Calibri"/>
          <w:i/>
          <w:iCs/>
          <w:strike/>
          <w:color w:val="000000"/>
          <w:sz w:val="24"/>
          <w:szCs w:val="24"/>
        </w:rPr>
        <w:t>% (</w:t>
      </w:r>
      <w:r>
        <w:rPr>
          <w:rFonts w:ascii="Calibri" w:hAnsi="Calibri"/>
          <w:b/>
          <w:bCs/>
          <w:i/>
          <w:iCs/>
          <w:strike/>
          <w:color w:val="000000"/>
          <w:sz w:val="24"/>
          <w:szCs w:val="24"/>
        </w:rPr>
        <w:t>xxxxx</w:t>
      </w:r>
      <w:r>
        <w:rPr>
          <w:rFonts w:ascii="Calibri" w:hAnsi="Calibri"/>
          <w:i/>
          <w:iCs/>
          <w:strike/>
          <w:color w:val="000000"/>
          <w:sz w:val="24"/>
          <w:szCs w:val="24"/>
        </w:rPr>
        <w:t xml:space="preserve"> por cento).</w:t>
      </w:r>
    </w:p>
    <w:p>
      <w:pPr>
        <w:pStyle w:val="Nivel3"/>
        <w:numPr>
          <w:ilvl w:val="2"/>
          <w:numId w:val="1"/>
        </w:numPr>
        <w:spacing w:lineRule="auto" w:line="240" w:before="0" w:after="0"/>
        <w:ind w:left="284" w:hanging="0"/>
        <w:contextualSpacing/>
        <w:rPr>
          <w:rFonts w:ascii="Calibri" w:hAnsi="Calibri"/>
          <w:strike/>
          <w:color w:val="000000"/>
          <w:sz w:val="24"/>
          <w:szCs w:val="24"/>
        </w:rPr>
      </w:pPr>
      <w:r>
        <w:rPr>
          <w:rFonts w:ascii="Calibri" w:hAnsi="Calibri"/>
          <w:i/>
          <w:iCs/>
          <w:strike/>
          <w:color w:val="000000"/>
          <w:sz w:val="24"/>
          <w:szCs w:val="24"/>
        </w:rPr>
        <w:t>Incluem-se entre as beneficiárias das vagas reservadas as mulheres trans, travestis e outras possibilidades do gênero feminino, conforme definido no art. 5º da Lei nº 11.340, de 7 de agosto de 2006.</w:t>
      </w:r>
    </w:p>
    <w:p>
      <w:pPr>
        <w:pStyle w:val="Nivel3"/>
        <w:numPr>
          <w:ilvl w:val="2"/>
          <w:numId w:val="1"/>
        </w:numPr>
        <w:spacing w:lineRule="auto" w:line="240" w:before="0" w:after="0"/>
        <w:ind w:left="284" w:hanging="0"/>
        <w:contextualSpacing/>
        <w:rPr>
          <w:rFonts w:ascii="Calibri" w:hAnsi="Calibri"/>
          <w:strike/>
          <w:color w:val="000000"/>
          <w:sz w:val="24"/>
          <w:szCs w:val="24"/>
        </w:rPr>
      </w:pPr>
      <w:r>
        <w:rPr>
          <w:rFonts w:ascii="Calibri" w:hAnsi="Calibri"/>
          <w:i/>
          <w:iCs/>
          <w:strike/>
          <w:color w:val="000000"/>
          <w:sz w:val="24"/>
          <w:szCs w:val="24"/>
        </w:rPr>
        <w:t>Sempre que houver um desligamento, o CONTRATADO deverá buscar atender ao percentual mínimo de 8% com a nova contratação.</w:t>
      </w:r>
    </w:p>
    <w:p>
      <w:pPr>
        <w:pStyle w:val="Nivel3"/>
        <w:numPr>
          <w:ilvl w:val="2"/>
          <w:numId w:val="1"/>
        </w:numPr>
        <w:spacing w:lineRule="auto" w:line="240" w:before="0" w:after="0"/>
        <w:ind w:left="284" w:hanging="0"/>
        <w:contextualSpacing/>
        <w:rPr>
          <w:rFonts w:ascii="Calibri" w:hAnsi="Calibri"/>
          <w:strike/>
          <w:color w:val="000000"/>
          <w:sz w:val="24"/>
          <w:szCs w:val="24"/>
        </w:rPr>
      </w:pPr>
      <w:bookmarkStart w:id="14" w:name="_Ref129007260"/>
      <w:r>
        <w:rPr>
          <w:rFonts w:ascii="Calibri" w:hAnsi="Calibri"/>
          <w:i/>
          <w:iCs/>
          <w:strike/>
          <w:color w:val="000000"/>
          <w:sz w:val="24"/>
          <w:szCs w:val="24"/>
        </w:rPr>
        <w:t>Se não houver mulheres elegíveis em número suficiente para preencher as vagas reservadas, a empresa poderá contratar livremente.</w:t>
      </w:r>
      <w:bookmarkEnd w:id="14"/>
    </w:p>
    <w:p>
      <w:pPr>
        <w:pStyle w:val="Nivel3"/>
        <w:numPr>
          <w:ilvl w:val="2"/>
          <w:numId w:val="1"/>
        </w:numPr>
        <w:spacing w:lineRule="auto" w:line="240" w:before="0" w:after="0"/>
        <w:ind w:left="284" w:hanging="0"/>
        <w:contextualSpacing/>
        <w:rPr>
          <w:rFonts w:ascii="Calibri" w:hAnsi="Calibri"/>
          <w:strike/>
          <w:color w:val="000000"/>
          <w:sz w:val="24"/>
          <w:szCs w:val="24"/>
        </w:rPr>
      </w:pPr>
      <w:r>
        <w:rPr>
          <w:rFonts w:ascii="Calibri" w:hAnsi="Calibri"/>
          <w:i/>
          <w:iCs/>
          <w:strike/>
          <w:color w:val="000000"/>
          <w:sz w:val="24"/>
          <w:szCs w:val="24"/>
        </w:rPr>
        <w:t>Para cálculo do percentual de vagas reservadas serão considerados todos os empregados alocados no contrato, incluindo folguistas e substitutos.</w:t>
      </w:r>
    </w:p>
    <w:p>
      <w:pPr>
        <w:pStyle w:val="Nivel3"/>
        <w:numPr>
          <w:ilvl w:val="2"/>
          <w:numId w:val="1"/>
        </w:numPr>
        <w:spacing w:lineRule="auto" w:line="240" w:before="0" w:after="0"/>
        <w:ind w:left="284" w:hanging="0"/>
        <w:contextualSpacing/>
        <w:rPr>
          <w:rFonts w:ascii="Calibri" w:hAnsi="Calibri"/>
          <w:strike/>
          <w:color w:val="000000"/>
          <w:sz w:val="24"/>
          <w:szCs w:val="24"/>
        </w:rPr>
      </w:pPr>
      <w:r>
        <w:rPr>
          <w:rFonts w:ascii="Calibri" w:hAnsi="Calibri"/>
          <w:i/>
          <w:iCs/>
          <w:strike/>
          <w:color w:val="000000"/>
          <w:sz w:val="24"/>
          <w:szCs w:val="24"/>
        </w:rPr>
        <w:t xml:space="preserve">O percentual de mão-de-obra de que trata este item deverá ser mantido durante toda a execução contratual, ressalvado o subitem </w:t>
      </w:r>
      <w:r>
        <w:rPr>
          <w:rFonts w:ascii="Calibri" w:hAnsi="Calibri"/>
          <w:i/>
          <w:iCs/>
          <w:strike/>
          <w:color w:val="000000"/>
          <w:sz w:val="24"/>
          <w:szCs w:val="24"/>
        </w:rPr>
        <w:fldChar w:fldCharType="begin"/>
      </w:r>
      <w:r>
        <w:rPr>
          <w:strike/>
          <w:sz w:val="24"/>
          <w:i/>
          <w:szCs w:val="24"/>
          <w:iCs/>
          <w:rFonts w:ascii="Calibri" w:hAnsi="Calibri"/>
          <w:color w:val="000000"/>
        </w:rPr>
        <w:instrText> REF _Ref129007260 \r \h </w:instrText>
      </w:r>
      <w:r>
        <w:rPr>
          <w:strike/>
          <w:sz w:val="24"/>
          <w:i/>
          <w:szCs w:val="24"/>
          <w:iCs/>
          <w:rFonts w:ascii="Calibri" w:hAnsi="Calibri"/>
          <w:color w:val="000000"/>
        </w:rPr>
        <w:fldChar w:fldCharType="separate"/>
      </w:r>
      <w:r>
        <w:rPr>
          <w:strike/>
          <w:sz w:val="24"/>
          <w:i/>
          <w:szCs w:val="24"/>
          <w:iCs/>
          <w:rFonts w:ascii="Calibri" w:hAnsi="Calibri"/>
          <w:color w:val="000000"/>
        </w:rPr>
        <w:t>9.53.4.</w:t>
      </w:r>
      <w:r>
        <w:rPr>
          <w:strike/>
          <w:sz w:val="24"/>
          <w:i/>
          <w:szCs w:val="24"/>
          <w:iCs/>
          <w:rFonts w:ascii="Calibri" w:hAnsi="Calibri"/>
          <w:color w:val="000000"/>
        </w:rPr>
        <w:fldChar w:fldCharType="end"/>
      </w:r>
      <w:r>
        <w:rPr>
          <w:rFonts w:ascii="Calibri" w:hAnsi="Calibri"/>
          <w:i/>
          <w:iCs/>
          <w:strike/>
          <w:color w:val="000000"/>
          <w:sz w:val="24"/>
          <w:szCs w:val="24"/>
        </w:rPr>
        <w:t>.</w:t>
      </w:r>
    </w:p>
    <w:p>
      <w:pPr>
        <w:pStyle w:val="Nivel3"/>
        <w:numPr>
          <w:ilvl w:val="2"/>
          <w:numId w:val="1"/>
        </w:numPr>
        <w:spacing w:lineRule="auto" w:line="240" w:before="0" w:after="0"/>
        <w:ind w:left="284" w:hanging="0"/>
        <w:contextualSpacing/>
        <w:rPr>
          <w:rFonts w:ascii="Calibri" w:hAnsi="Calibri"/>
          <w:strike/>
          <w:color w:val="000000"/>
          <w:sz w:val="24"/>
          <w:szCs w:val="24"/>
        </w:rPr>
      </w:pPr>
      <w:r>
        <w:rPr>
          <w:rFonts w:ascii="Calibri" w:hAnsi="Calibri"/>
          <w:i/>
          <w:iCs/>
          <w:strike/>
          <w:color w:val="000000"/>
          <w:sz w:val="24"/>
          <w:szCs w:val="24"/>
        </w:rPr>
        <w:t>O CONTRATADO deve manter o sigilo da condição de violência doméstica da profissional que será alocada para a prestação do serviço.</w:t>
      </w:r>
    </w:p>
    <w:p>
      <w:pPr>
        <w:pStyle w:val="Nivel3"/>
        <w:numPr>
          <w:ilvl w:val="0"/>
          <w:numId w:val="0"/>
        </w:numPr>
        <w:spacing w:lineRule="auto" w:line="240" w:before="0" w:after="0"/>
        <w:ind w:left="3482" w:hanging="0"/>
        <w:contextualSpacing/>
        <w:rPr>
          <w:i/>
          <w:i/>
          <w:iCs/>
        </w:rPr>
      </w:pPr>
      <w:r>
        <w:rPr>
          <w:rFonts w:ascii="Calibri" w:hAnsi="Calibri"/>
          <w:strike/>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CLAÚSULA DÉCIMA - DA COMPENSAÇÃO DA JORNADA DE TRABALHO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pPr>
        <w:pStyle w:val="Nivel2"/>
        <w:numPr>
          <w:ilvl w:val="0"/>
          <w:numId w:val="0"/>
        </w:numPr>
        <w:spacing w:lineRule="auto" w:line="240" w:before="0" w:after="0"/>
        <w:ind w:left="1283" w:hanging="0"/>
        <w:contextualSpacing/>
        <w:rPr>
          <w:highlight w:val="yellow"/>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commentRangeStart w:id="16"/>
      <w:r>
        <w:rPr>
          <w:rFonts w:ascii="Calibri" w:hAnsi="Calibri"/>
          <w:color w:val="000000"/>
          <w:sz w:val="24"/>
          <w:szCs w:val="24"/>
        </w:rPr>
        <w:t>CLÁUSULA DÉCIMA PRIMEIRA- OBRIGAÇÕES PERTINENTES À LGPD</w:t>
      </w:r>
      <w:commentRangeEnd w:id="16"/>
      <w:r>
        <w:commentReference w:id="16"/>
      </w:r>
      <w:r>
        <w:rPr>
          <w:rFonts w:ascii="Calibri" w:hAnsi="Calibri"/>
          <w:color w:val="000000"/>
          <w:sz w:val="24"/>
          <w:szCs w:val="24"/>
        </w:rPr>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Os dados obtidos somente poderão ser utilizados para as finalidades que justificaram seu acesso e de acordo com a boa-fé e com os princípios do art. 6º da LGPD.</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É vedado o compartilhamento com terceiros dos dados obtidos fora das hipóteses permitidas em Lei.</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 Administração deverá ser informada no prazo de 5 (cinco) dias úteis sobre todos os contratos de suboperação firmados ou que venham a ser celebrados pelo CONTRATADO.</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1"/>
        </w:numPr>
        <w:spacing w:lineRule="auto" w:line="240" w:before="0" w:after="0"/>
        <w:ind w:left="0" w:hanging="0"/>
        <w:contextualSpacing/>
        <w:rPr>
          <w:rFonts w:ascii="Calibri" w:hAnsi="Calibri"/>
          <w:color w:val="000000"/>
          <w:sz w:val="24"/>
          <w:szCs w:val="24"/>
        </w:rPr>
      </w:pPr>
      <w:commentRangeStart w:id="17"/>
      <w:r>
        <w:rPr>
          <w:rFonts w:ascii="Calibri" w:hAnsi="Calibri"/>
          <w:color w:val="000000"/>
          <w:sz w:val="24"/>
          <w:szCs w:val="24"/>
        </w:rPr>
        <w:t xml:space="preserve">É dever do CONTRATADO orientar e treinar seus empregados sobre os deveres, requisitos e responsabilidades decorrentes da LGPD. </w:t>
      </w:r>
      <w:commentRangeEnd w:id="17"/>
      <w:r>
        <w:commentReference w:id="17"/>
      </w:r>
      <w:r>
        <w:rPr>
          <w:rFonts w:ascii="Calibri" w:hAnsi="Calibri"/>
          <w:color w:val="000000"/>
          <w:sz w:val="24"/>
          <w:szCs w:val="24"/>
        </w:rPr>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CONTRATADO deverá exigir de SUBOPERADORES e SUBCONTRATADOS o cumprimento dos deveres da presente cláusula, permanecendo integralmente responsável por garantir sua observância.</w:t>
      </w:r>
    </w:p>
    <w:p>
      <w:pPr>
        <w:pStyle w:val="Nvel2Red"/>
        <w:numPr>
          <w:ilvl w:val="1"/>
          <w:numId w:val="1"/>
        </w:numPr>
        <w:spacing w:lineRule="auto" w:line="240" w:before="0" w:after="0"/>
        <w:ind w:left="0" w:hanging="0"/>
        <w:contextualSpacing/>
        <w:rPr>
          <w:rFonts w:ascii="Calibri" w:hAnsi="Calibri"/>
          <w:color w:val="000000"/>
          <w:sz w:val="24"/>
          <w:szCs w:val="24"/>
        </w:rPr>
      </w:pPr>
      <w:commentRangeStart w:id="18"/>
      <w:r>
        <w:rPr>
          <w:rFonts w:ascii="Calibri" w:hAnsi="Calibri"/>
          <w:color w:val="000000"/>
          <w:sz w:val="24"/>
          <w:szCs w:val="24"/>
        </w:rPr>
        <w:t xml:space="preserve">O CONTRATANTE poderá realizar diligência para aferir o cumprimento dessa cláusula, devendo o CONTRATADO atender prontamente eventuais pedidos de comprovação formulados. </w:t>
      </w:r>
      <w:commentRangeEnd w:id="18"/>
      <w:r>
        <w:commentReference w:id="18"/>
      </w:r>
      <w:r>
        <w:rPr>
          <w:rFonts w:ascii="Calibri" w:hAnsi="Calibri"/>
          <w:color w:val="000000"/>
          <w:sz w:val="24"/>
          <w:szCs w:val="24"/>
        </w:rPr>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Os referidos bancos de dados devem ser desenvolvidos em formato interoperável, a fim de garantir a reutilização desses dados pela Administração nas hipóteses previstas na LGPD.</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Os contratos e convênios de que trata o § 1º do art. 26 da LGPD</w:t>
      </w:r>
      <w:commentRangeStart w:id="19"/>
      <w:r>
        <w:rPr>
          <w:rFonts w:ascii="Calibri" w:hAnsi="Calibri"/>
          <w:color w:val="000000"/>
          <w:sz w:val="24"/>
          <w:szCs w:val="24"/>
        </w:rPr>
        <w:t xml:space="preserve"> deverão ser comunicados à autoridade nacional.</w:t>
      </w:r>
    </w:p>
    <w:p>
      <w:pPr>
        <w:pStyle w:val="Nvel2Red"/>
        <w:numPr>
          <w:ilvl w:val="0"/>
          <w:numId w:val="0"/>
        </w:numPr>
        <w:spacing w:lineRule="auto" w:line="240" w:before="0" w:after="0"/>
        <w:ind w:left="1283" w:hanging="0"/>
        <w:contextualSpacing/>
        <w:rPr>
          <w:rFonts w:ascii="Calibri" w:hAnsi="Calibri"/>
          <w:color w:val="000000"/>
          <w:sz w:val="24"/>
          <w:szCs w:val="24"/>
        </w:rPr>
      </w:pPr>
      <w:commentRangeEnd w:id="19"/>
      <w:r>
        <w:commentReference w:id="19"/>
      </w: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SEGUNDA – GARANTIA DE EXECUÇÃO</w:t>
      </w:r>
    </w:p>
    <w:p>
      <w:pPr>
        <w:pStyle w:val="Nvel2Red"/>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Será exigida a prestação de garantia na presente contratação, conforme regras constantes do Termo de Referência.</w:t>
      </w:r>
    </w:p>
    <w:p>
      <w:pPr>
        <w:pStyle w:val="Nvel2Red"/>
        <w:numPr>
          <w:ilvl w:val="0"/>
          <w:numId w:val="0"/>
        </w:numPr>
        <w:spacing w:lineRule="auto" w:line="240" w:before="0" w:after="0"/>
        <w:ind w:left="1283" w:hanging="0"/>
        <w:contextualSpacing/>
        <w:rPr>
          <w:highlight w:val="yellow"/>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TERCEIRA – INFRAÇÕES E SANÇÕES ADMINISTRATIVAS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As regras acerca de infrações e sanções administrativas referentes à execução do contrato são aquelas definidas no Termo de Referência, anexo a este Contrato.</w:t>
      </w:r>
    </w:p>
    <w:p>
      <w:pPr>
        <w:pStyle w:val="Nivel2"/>
        <w:numPr>
          <w:ilvl w:val="0"/>
          <w:numId w:val="0"/>
        </w:numPr>
        <w:spacing w:lineRule="auto" w:line="240" w:before="0" w:after="0"/>
        <w:ind w:left="1283" w:hanging="0"/>
        <w:contextualSpacing/>
        <w:rPr>
          <w:highlight w:val="yellow"/>
        </w:rPr>
      </w:pPr>
      <w:r>
        <w:rPr>
          <w:rFonts w:ascii="Calibri" w:hAnsi="Calibri"/>
          <w:color w:val="000000"/>
          <w:sz w:val="24"/>
          <w:szCs w:val="24"/>
        </w:rPr>
      </w:r>
      <w:bookmarkStart w:id="15" w:name="_Ref169601460"/>
      <w:bookmarkStart w:id="16" w:name="_Ref169602136"/>
      <w:bookmarkStart w:id="17" w:name="_Ref169601460"/>
      <w:bookmarkStart w:id="18" w:name="_Ref169602136"/>
      <w:bookmarkEnd w:id="17"/>
      <w:bookmarkEnd w:id="18"/>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QUARTA – DA EXTINÇÃO CONTRATUAL</w:t>
      </w:r>
    </w:p>
    <w:p>
      <w:pPr>
        <w:pStyle w:val="Nivel2"/>
        <w:numPr>
          <w:ilvl w:val="1"/>
          <w:numId w:val="1"/>
        </w:numPr>
        <w:spacing w:lineRule="auto" w:line="240" w:before="0" w:after="0"/>
        <w:ind w:left="0" w:hanging="0"/>
        <w:contextualSpacing/>
        <w:rPr>
          <w:rFonts w:ascii="Calibri" w:hAnsi="Calibri"/>
          <w:color w:val="000000"/>
          <w:sz w:val="24"/>
          <w:szCs w:val="24"/>
        </w:rPr>
      </w:pPr>
      <w:commentRangeStart w:id="20"/>
      <w:r>
        <w:rPr>
          <w:rFonts w:ascii="Calibri" w:hAnsi="Calibri"/>
          <w:color w:val="000000"/>
          <w:sz w:val="24"/>
          <w:szCs w:val="24"/>
        </w:rPr>
        <w:t>O contrato será extinto quando vencido o prazo nele estipulado, independentemente de terem sido cumpridas ou não as obrigações de ambas as partes contraentes</w:t>
      </w:r>
      <w:r>
        <w:rPr>
          <w:rFonts w:ascii="Calibri" w:hAnsi="Calibri"/>
          <w:color w:val="000000"/>
          <w:sz w:val="24"/>
          <w:szCs w:val="24"/>
        </w:rPr>
      </w:r>
      <w:commentRangeEnd w:id="20"/>
      <w:r>
        <w:commentReference w:id="20"/>
      </w:r>
      <w:r>
        <w:rPr>
          <w:rFonts w:ascii="Calibri" w:hAnsi="Calibri"/>
          <w:color w:val="000000"/>
          <w:sz w:val="24"/>
          <w:szCs w:val="24"/>
        </w:rPr>
        <w:t>.</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contrato poderá ser extinto antes do prazo nele fixado, sem ônus para o CONTRATANTE, quando este não dispuser de créditos orçamentários para sua continuidade ou quando entender que o contrato não mais lhe oferece vantagem.</w:t>
      </w:r>
    </w:p>
    <w:p>
      <w:pPr>
        <w:pStyle w:val="Nivel2"/>
        <w:numPr>
          <w:ilvl w:val="1"/>
          <w:numId w:val="1"/>
        </w:numPr>
        <w:spacing w:lineRule="auto" w:line="240" w:before="0" w:after="0"/>
        <w:ind w:left="0" w:hanging="0"/>
        <w:contextualSpacing/>
        <w:rPr>
          <w:rFonts w:ascii="Calibri" w:hAnsi="Calibri"/>
          <w:color w:val="000000"/>
          <w:sz w:val="24"/>
          <w:szCs w:val="24"/>
        </w:rPr>
      </w:pPr>
      <w:commentRangeStart w:id="21"/>
      <w:r>
        <w:rPr>
          <w:rFonts w:ascii="Calibri" w:hAnsi="Calibri"/>
          <w:color w:val="000000"/>
          <w:sz w:val="24"/>
          <w:szCs w:val="24"/>
        </w:rPr>
        <w:t>A extinção nesta hipótese ocorrerá na próxima data de aniversário do contrato, desde que haja a notificação do CONTRATADO pelo CONTRATANTE nesse sentido com pelo menos 2 (dois) meses de antecedência desse dia.</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Caso a notificação da não-continuidade do contrato de que trata este subitem ocorra com menos de 2 (dois) meses da data de aniversário, a extinção contratual ocorrerá após 2 (dois) meses da data da comunicação.</w:t>
      </w:r>
      <w:commentRangeEnd w:id="21"/>
      <w:r>
        <w:commentReference w:id="21"/>
      </w:r>
      <w:r>
        <w:rPr>
          <w:rFonts w:ascii="Calibri" w:hAnsi="Calibri"/>
          <w:color w:val="000000"/>
          <w:sz w:val="24"/>
          <w:szCs w:val="24"/>
        </w:rPr>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O contrato poderá ser extinto antes de cumpridas as obrigações nele estipuladas, ou antes do prazo nele fixado, por algum dos motivos previstos no artigo 137 da Lei nº 14.133, de 2021, bem como amigavelmente, </w:t>
      </w:r>
      <w:r>
        <w:rPr>
          <w:rFonts w:ascii="Calibri" w:hAnsi="Calibri"/>
          <w:color w:val="000000" w:themeColor="text1"/>
          <w:sz w:val="24"/>
          <w:szCs w:val="24"/>
        </w:rPr>
        <w:t>assegurados o contraditório e a ampla defesa</w:t>
      </w:r>
      <w:r>
        <w:rPr>
          <w:rFonts w:ascii="Calibri" w:hAnsi="Calibri"/>
          <w:color w:val="000000"/>
          <w:sz w:val="24"/>
          <w:szCs w:val="24"/>
        </w:rPr>
        <w:t>.</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Nesta hipótese, aplicam-se também os artigos 138 e 139 da mesma Lei.</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 alteração social ou a modificação da finalidade ou da estrutura da empresa não ensejará a extinção se não restringir sua capacidade de concluir o contrato.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themeColor="text1"/>
          <w:sz w:val="24"/>
          <w:szCs w:val="24"/>
        </w:rPr>
        <w:t xml:space="preserve">Se a </w:t>
      </w:r>
      <w:r>
        <w:rPr>
          <w:rFonts w:ascii="Calibri" w:hAnsi="Calibri"/>
          <w:color w:val="000000"/>
          <w:sz w:val="24"/>
          <w:szCs w:val="24"/>
        </w:rPr>
        <w:t>operação</w:t>
      </w:r>
      <w:r>
        <w:rPr>
          <w:rFonts w:ascii="Calibri" w:hAnsi="Calibri"/>
          <w:color w:val="000000" w:themeColor="text1"/>
          <w:sz w:val="24"/>
          <w:szCs w:val="24"/>
        </w:rPr>
        <w:t xml:space="preserve"> </w:t>
      </w:r>
      <w:r>
        <w:rPr>
          <w:rFonts w:ascii="Calibri" w:hAnsi="Calibri"/>
          <w:color w:val="000000"/>
          <w:sz w:val="24"/>
          <w:szCs w:val="24"/>
        </w:rPr>
        <w:t>implicar mudança da pessoa jurídica contratada, deverá ser formalizado termo aditivo para alteração subjetiva.</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termo de extinção, sempre que possível, será precedido:</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Do balanço dos eventos contratuais já cumpridos ou parcialmente cumpridos;</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Da relação dos pagamentos já efetuados e ainda devidos;</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Das indenizações e multas.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 extinção do contrato não configura óbice para o reconhecimento do desequilíbrio econômico-financeiro, hipótese em que será concedida indenização por meio de termo indenizatório.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w:t>
      </w:r>
      <w:commentRangeStart w:id="22"/>
      <w:r>
        <w:rPr>
          <w:rFonts w:ascii="Calibri" w:hAnsi="Calibri"/>
          <w:color w:val="000000"/>
          <w:sz w:val="24"/>
          <w:szCs w:val="24"/>
        </w:rPr>
        <w:t>cabíveis</w:t>
      </w:r>
      <w:r>
        <w:rPr>
          <w:rFonts w:ascii="Calibri" w:hAnsi="Calibri"/>
          <w:color w:val="000000"/>
          <w:sz w:val="24"/>
          <w:szCs w:val="24"/>
        </w:rPr>
      </w:r>
      <w:commentRangeEnd w:id="22"/>
      <w:r>
        <w:commentReference w:id="22"/>
      </w:r>
      <w:r>
        <w:rPr>
          <w:rFonts w:ascii="Calibri" w:hAnsi="Calibri"/>
          <w:color w:val="000000"/>
          <w:sz w:val="24"/>
          <w:szCs w:val="24"/>
        </w:rPr>
        <w:t>.</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CONTRATANTE poderá conceder prazo para que o CONTRATADO regularize suas obrigações trabalhistas ou suas condições de habilitação, sob pena de extinção contratual, quando não identificar má-fé ou a incapacidade de correção.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Até que o CONTRATADO comprove o disposto no item anterior, o CONTRATANTE reterá:</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os valores das Notas fiscais ou Faturas correspondentes em valor proporcional ao inadimplemento, até que a situação seja regularizada.</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Na hipótese do subitem anterior, não havendo quitação das obrigações por parte do contratado no prazo de 15 (quinze) dias, </w:t>
      </w:r>
      <w:r>
        <w:rPr>
          <w:rFonts w:ascii="Calibri" w:hAnsi="Calibri"/>
          <w:color w:val="000000"/>
          <w:sz w:val="24"/>
          <w:szCs w:val="24"/>
          <w:highlight w:val="yellow"/>
        </w:rPr>
        <w:t>fica o CONTRATADO obrigado a emitir as guias de recolhimento de contribuições previdenciárias e do FGTS e entregá-las ao CONTRATANTE, que</w:t>
      </w:r>
      <w:r>
        <w:rPr>
          <w:rFonts w:ascii="Calibri" w:hAnsi="Calibri"/>
          <w:color w:val="000000"/>
          <w:sz w:val="24"/>
          <w:szCs w:val="24"/>
        </w:rPr>
        <w:t xml:space="preserve"> poderá efetuar o pagamento das obrigações </w:t>
      </w:r>
      <w:r>
        <w:rPr>
          <w:rFonts w:ascii="Calibri" w:hAnsi="Calibri"/>
          <w:color w:val="000000"/>
          <w:sz w:val="24"/>
          <w:szCs w:val="24"/>
          <w:highlight w:val="yellow"/>
        </w:rPr>
        <w:t>inadimplidas</w:t>
      </w:r>
      <w:r>
        <w:rPr>
          <w:rFonts w:ascii="Calibri" w:hAnsi="Calibri"/>
          <w:color w:val="000000"/>
          <w:sz w:val="24"/>
          <w:szCs w:val="24"/>
        </w:rPr>
        <w:t xml:space="preserve"> diretamente aos empregados que tenham participado da execução dos serviços objeto do contrato, </w:t>
      </w:r>
      <w:r>
        <w:rPr>
          <w:rFonts w:ascii="Calibri" w:hAnsi="Calibri"/>
          <w:color w:val="000000"/>
          <w:sz w:val="24"/>
          <w:szCs w:val="24"/>
          <w:highlight w:val="yellow"/>
        </w:rPr>
        <w:t>bem como das contribuições previdenciárias e do FGTS</w:t>
      </w:r>
      <w:r>
        <w:rPr>
          <w:rFonts w:ascii="Calibri" w:hAnsi="Calibri"/>
          <w:color w:val="000000"/>
          <w:sz w:val="24"/>
          <w:szCs w:val="24"/>
        </w:rPr>
        <w:t>, deduzindo o respectivo valor do pagamento devido ao contratado.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CONTRATANTE poderá ainda:</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 xml:space="preserve"> </w:t>
      </w:r>
      <w:r>
        <w:rPr>
          <w:rFonts w:ascii="Calibri" w:hAnsi="Calibri"/>
          <w:color w:val="000000"/>
          <w:sz w:val="24"/>
          <w:szCs w:val="24"/>
        </w:rPr>
        <w:t>nos casos de obrigação de pagamento de multa pelo CONTRATADO, reter a garantia prestada a ser executada, conforme legislação que rege a matéria; e</w:t>
      </w:r>
    </w:p>
    <w:p>
      <w:pPr>
        <w:pStyle w:val="Nivel3"/>
        <w:numPr>
          <w:ilvl w:val="2"/>
          <w:numId w:val="1"/>
        </w:numPr>
        <w:spacing w:lineRule="auto" w:line="240" w:before="0" w:after="0"/>
        <w:ind w:left="284" w:hanging="0"/>
        <w:contextualSpacing/>
        <w:rPr>
          <w:rFonts w:ascii="Calibri" w:hAnsi="Calibri"/>
          <w:color w:val="000000"/>
          <w:sz w:val="24"/>
          <w:szCs w:val="24"/>
        </w:rPr>
      </w:pPr>
      <w:r>
        <w:rPr>
          <w:rFonts w:ascii="Calibri" w:hAnsi="Calibri"/>
          <w:color w:val="000000"/>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highlight w:val="yellow"/>
        </w:rPr>
        <w:t xml:space="preserve">O contrato poderá ser extinto em caso de alteração da convenção coletiva de </w:t>
      </w:r>
      <w:commentRangeStart w:id="23"/>
      <w:r>
        <w:rPr>
          <w:rFonts w:ascii="Calibri" w:hAnsi="Calibri"/>
          <w:color w:val="000000"/>
          <w:sz w:val="24"/>
          <w:szCs w:val="24"/>
          <w:highlight w:val="yellow"/>
        </w:rPr>
        <w:t>trabalho</w:t>
      </w:r>
      <w:r>
        <w:rPr>
          <w:rFonts w:ascii="Calibri" w:hAnsi="Calibri"/>
          <w:color w:val="000000"/>
          <w:sz w:val="24"/>
          <w:szCs w:val="24"/>
          <w:highlight w:val="yellow"/>
        </w:rPr>
      </w:r>
      <w:commentRangeEnd w:id="23"/>
      <w:r>
        <w:commentReference w:id="23"/>
      </w:r>
      <w:r>
        <w:rPr>
          <w:rFonts w:ascii="Calibri" w:hAnsi="Calibri"/>
          <w:color w:val="000000"/>
          <w:sz w:val="24"/>
          <w:szCs w:val="24"/>
          <w:highlight w:val="yellow"/>
        </w:rPr>
        <w:t xml:space="preserve">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pPr>
        <w:pStyle w:val="Nivel2"/>
        <w:numPr>
          <w:ilvl w:val="0"/>
          <w:numId w:val="0"/>
        </w:numPr>
        <w:spacing w:lineRule="auto" w:line="240" w:before="0" w:after="0"/>
        <w:ind w:left="1283" w:hanging="0"/>
        <w:contextualSpacing/>
        <w:rPr>
          <w:highlight w:val="yellow"/>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QUINTA – ALTERAÇÕES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Eventuais alterações contratuais reger-se-ão pela disciplina dos arts. 124 e seguintes da Lei nº 14.133, de 2021.</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spacing w:lineRule="auto" w:line="240" w:before="0" w:after="0"/>
        <w:ind w:left="0" w:hanging="0"/>
        <w:contextualSpacing/>
        <w:rPr>
          <w:rFonts w:ascii="Calibri" w:hAnsi="Calibri"/>
          <w:color w:val="000000"/>
          <w:sz w:val="24"/>
          <w:szCs w:val="24"/>
        </w:rPr>
      </w:pPr>
      <w:commentRangeStart w:id="24"/>
      <w:r>
        <w:rPr>
          <w:rFonts w:ascii="Calibri" w:hAnsi="Calibri"/>
          <w:color w:val="000000"/>
          <w:sz w:val="24"/>
          <w:szCs w:val="24"/>
          <w:highlight w:val="yellow"/>
        </w:rPr>
        <w:t>As supressões resultantes de acordo celebrado entre as partes contratantes poderão exceder o limite de 25% (vinte e cinco por cento) do valor inicial atualizado do contrato.</w:t>
      </w:r>
      <w:commentRangeEnd w:id="24"/>
      <w:r>
        <w:commentReference w:id="24"/>
      </w:r>
      <w:r>
        <w:rPr>
          <w:rFonts w:ascii="Calibri" w:hAnsi="Calibri"/>
          <w:color w:val="000000"/>
          <w:sz w:val="24"/>
          <w:szCs w:val="24"/>
          <w:highlight w:val="yellow"/>
        </w:rPr>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Registros que não caracterizam alteração do contrato podem ser realizados por simples apostila, dispensada a celebração de termo aditivo, na forma do art. 136 da Lei nº 14.133, de 2021.</w:t>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SEXTA – DOTAÇÃO ORÇAMENTÁRIA</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As despesas decorrentes da presente contratação correrão à conta de recursos específicos consignados no Orçamento Geral da União deste exercício, na dotação abaixo discriminada:</w:t>
      </w:r>
    </w:p>
    <w:p>
      <w:pPr>
        <w:pStyle w:val="ListParagraph"/>
        <w:numPr>
          <w:ilvl w:val="0"/>
          <w:numId w:val="2"/>
        </w:numPr>
        <w:spacing w:lineRule="auto" w:line="240" w:before="0" w:after="0"/>
        <w:ind w:left="284" w:hanging="0"/>
        <w:contextualSpacing/>
        <w:jc w:val="both"/>
        <w:rPr>
          <w:rFonts w:ascii="Calibri" w:hAnsi="Calibri"/>
          <w:color w:val="000000"/>
          <w:sz w:val="24"/>
          <w:szCs w:val="24"/>
        </w:rPr>
      </w:pPr>
      <w:r>
        <w:rPr>
          <w:rFonts w:eastAsia="Arial" w:cs="Arial" w:ascii="Calibri" w:hAnsi="Calibri"/>
          <w:color w:val="000000"/>
          <w:sz w:val="24"/>
          <w:szCs w:val="24"/>
        </w:rPr>
        <w:t xml:space="preserve">Gestão/unidade: </w:t>
      </w:r>
      <w:r>
        <w:rPr>
          <w:rFonts w:eastAsia="Arial" w:cs="Arial" w:ascii="Calibri" w:hAnsi="Calibri"/>
          <w:color w:val="000000"/>
          <w:sz w:val="24"/>
          <w:szCs w:val="24"/>
        </w:rPr>
        <w:t>[...]</w:t>
      </w:r>
      <w:r>
        <w:rPr>
          <w:rFonts w:eastAsia="Arial" w:cs="Arial" w:ascii="Calibri" w:hAnsi="Calibri"/>
          <w:color w:val="000000"/>
          <w:sz w:val="24"/>
          <w:szCs w:val="24"/>
        </w:rPr>
        <w:t>;</w:t>
      </w:r>
    </w:p>
    <w:p>
      <w:pPr>
        <w:pStyle w:val="ListParagraph"/>
        <w:numPr>
          <w:ilvl w:val="0"/>
          <w:numId w:val="2"/>
        </w:numPr>
        <w:spacing w:lineRule="auto" w:line="240" w:before="0" w:after="0"/>
        <w:ind w:left="284" w:hanging="0"/>
        <w:contextualSpacing/>
        <w:jc w:val="both"/>
        <w:rPr>
          <w:rFonts w:ascii="Calibri" w:hAnsi="Calibri"/>
          <w:color w:val="000000"/>
          <w:sz w:val="24"/>
          <w:szCs w:val="24"/>
        </w:rPr>
      </w:pPr>
      <w:r>
        <w:rPr>
          <w:rFonts w:eastAsia="Arial" w:cs="Arial" w:ascii="Calibri" w:hAnsi="Calibri"/>
          <w:color w:val="000000"/>
          <w:sz w:val="24"/>
          <w:szCs w:val="24"/>
        </w:rPr>
        <w:t xml:space="preserve">Fonte de recursos: </w:t>
      </w:r>
      <w:r>
        <w:rPr>
          <w:rFonts w:eastAsia="Arial" w:cs="Arial" w:ascii="Calibri" w:hAnsi="Calibri"/>
          <w:color w:val="000000"/>
          <w:sz w:val="24"/>
          <w:szCs w:val="24"/>
        </w:rPr>
        <w:t>[...]</w:t>
      </w:r>
      <w:r>
        <w:rPr>
          <w:rFonts w:eastAsia="Arial" w:cs="Arial" w:ascii="Calibri" w:hAnsi="Calibri"/>
          <w:color w:val="000000"/>
          <w:sz w:val="24"/>
          <w:szCs w:val="24"/>
        </w:rPr>
        <w:t>;</w:t>
      </w:r>
    </w:p>
    <w:p>
      <w:pPr>
        <w:pStyle w:val="ListParagraph"/>
        <w:numPr>
          <w:ilvl w:val="0"/>
          <w:numId w:val="2"/>
        </w:numPr>
        <w:spacing w:lineRule="auto" w:line="240" w:before="0" w:after="0"/>
        <w:ind w:left="284" w:hanging="0"/>
        <w:contextualSpacing/>
        <w:jc w:val="both"/>
        <w:rPr>
          <w:rFonts w:ascii="Calibri" w:hAnsi="Calibri"/>
          <w:color w:val="000000"/>
          <w:sz w:val="24"/>
          <w:szCs w:val="24"/>
        </w:rPr>
      </w:pPr>
      <w:r>
        <w:rPr>
          <w:rFonts w:eastAsia="Arial" w:cs="Arial" w:ascii="Calibri" w:hAnsi="Calibri"/>
          <w:color w:val="000000"/>
          <w:sz w:val="24"/>
          <w:szCs w:val="24"/>
        </w:rPr>
        <w:t xml:space="preserve">Programa de trabalho: </w:t>
      </w:r>
      <w:r>
        <w:rPr>
          <w:rFonts w:eastAsia="Arial" w:cs="Arial" w:ascii="Calibri" w:hAnsi="Calibri"/>
          <w:color w:val="000000"/>
          <w:sz w:val="24"/>
          <w:szCs w:val="24"/>
        </w:rPr>
        <w:t>[...]</w:t>
      </w:r>
      <w:r>
        <w:rPr>
          <w:rFonts w:eastAsia="Arial" w:cs="Arial" w:ascii="Calibri" w:hAnsi="Calibri"/>
          <w:color w:val="000000"/>
          <w:sz w:val="24"/>
          <w:szCs w:val="24"/>
        </w:rPr>
        <w:t>;</w:t>
      </w:r>
    </w:p>
    <w:p>
      <w:pPr>
        <w:pStyle w:val="ListParagraph"/>
        <w:numPr>
          <w:ilvl w:val="0"/>
          <w:numId w:val="2"/>
        </w:numPr>
        <w:spacing w:lineRule="auto" w:line="240" w:before="0" w:after="0"/>
        <w:ind w:left="284" w:hanging="0"/>
        <w:contextualSpacing/>
        <w:jc w:val="both"/>
        <w:rPr>
          <w:rFonts w:ascii="Calibri" w:hAnsi="Calibri"/>
          <w:color w:val="000000"/>
          <w:sz w:val="24"/>
          <w:szCs w:val="24"/>
        </w:rPr>
      </w:pPr>
      <w:r>
        <w:rPr>
          <w:rFonts w:eastAsia="Arial" w:cs="Arial" w:ascii="Calibri" w:hAnsi="Calibri"/>
          <w:color w:val="000000"/>
          <w:sz w:val="24"/>
          <w:szCs w:val="24"/>
        </w:rPr>
        <w:t xml:space="preserve">Elemento de despesa: </w:t>
      </w:r>
      <w:r>
        <w:rPr>
          <w:rFonts w:eastAsia="Arial" w:cs="Arial" w:ascii="Calibri" w:hAnsi="Calibri"/>
          <w:color w:val="000000"/>
          <w:sz w:val="24"/>
          <w:szCs w:val="24"/>
        </w:rPr>
        <w:t>[...]</w:t>
      </w:r>
      <w:r>
        <w:rPr>
          <w:rFonts w:eastAsia="Arial" w:cs="Arial" w:ascii="Calibri" w:hAnsi="Calibri"/>
          <w:color w:val="000000"/>
          <w:sz w:val="24"/>
          <w:szCs w:val="24"/>
        </w:rPr>
        <w:t>; e</w:t>
      </w:r>
    </w:p>
    <w:p>
      <w:pPr>
        <w:pStyle w:val="ListParagraph"/>
        <w:numPr>
          <w:ilvl w:val="0"/>
          <w:numId w:val="2"/>
        </w:numPr>
        <w:spacing w:lineRule="auto" w:line="240" w:before="0" w:after="0"/>
        <w:ind w:left="284" w:hanging="0"/>
        <w:contextualSpacing/>
        <w:jc w:val="both"/>
        <w:rPr>
          <w:rFonts w:ascii="Calibri" w:hAnsi="Calibri"/>
          <w:color w:val="000000"/>
          <w:sz w:val="24"/>
          <w:szCs w:val="24"/>
        </w:rPr>
      </w:pPr>
      <w:r>
        <w:rPr>
          <w:rFonts w:eastAsia="Arial" w:cs="Arial" w:ascii="Calibri" w:hAnsi="Calibri"/>
          <w:color w:val="000000"/>
          <w:sz w:val="24"/>
          <w:szCs w:val="24"/>
        </w:rPr>
        <w:t xml:space="preserve">Plano interno: </w:t>
      </w:r>
      <w:r>
        <w:rPr>
          <w:rFonts w:eastAsia="Arial" w:cs="Arial" w:ascii="Calibri" w:hAnsi="Calibri"/>
          <w:color w:val="000000"/>
          <w:sz w:val="24"/>
          <w:szCs w:val="24"/>
        </w:rPr>
        <w:t>[...]</w:t>
      </w:r>
      <w:r>
        <w:rPr>
          <w:rFonts w:eastAsia="Arial" w:cs="Arial" w:ascii="Calibri" w:hAnsi="Calibri"/>
          <w:color w:val="000000"/>
          <w:sz w:val="24"/>
          <w:szCs w:val="24"/>
        </w:rPr>
        <w:t>; e</w:t>
      </w:r>
    </w:p>
    <w:p>
      <w:pPr>
        <w:pStyle w:val="ListParagraph"/>
        <w:numPr>
          <w:ilvl w:val="0"/>
          <w:numId w:val="2"/>
        </w:numPr>
        <w:spacing w:lineRule="auto" w:line="240" w:before="0" w:after="0"/>
        <w:ind w:left="284" w:hanging="0"/>
        <w:contextualSpacing/>
        <w:jc w:val="both"/>
        <w:rPr>
          <w:rFonts w:ascii="Calibri" w:hAnsi="Calibri"/>
          <w:color w:val="000000"/>
          <w:sz w:val="24"/>
          <w:szCs w:val="24"/>
        </w:rPr>
      </w:pPr>
      <w:r>
        <w:rPr>
          <w:rFonts w:eastAsia="Arial" w:cs="Arial" w:ascii="Calibri" w:hAnsi="Calibri"/>
          <w:color w:val="000000"/>
          <w:sz w:val="24"/>
          <w:szCs w:val="24"/>
        </w:rPr>
        <w:t xml:space="preserve">Nota de empenho: </w:t>
      </w:r>
      <w:r>
        <w:rPr>
          <w:rFonts w:eastAsia="Arial" w:cs="Arial" w:ascii="Calibri" w:hAnsi="Calibri"/>
          <w:color w:val="000000"/>
          <w:sz w:val="24"/>
          <w:szCs w:val="24"/>
        </w:rPr>
        <w:t>[...]</w:t>
      </w:r>
      <w:r>
        <w:rPr>
          <w:rFonts w:eastAsia="Arial" w:cs="Arial" w:ascii="Calibri" w:hAnsi="Calibri"/>
          <w:color w:val="000000"/>
          <w:sz w:val="24"/>
          <w:szCs w:val="24"/>
        </w:rPr>
        <w:t>;</w:t>
      </w:r>
    </w:p>
    <w:p>
      <w:pPr>
        <w:pStyle w:val="Nvel2Red"/>
        <w:numPr>
          <w:ilvl w:val="1"/>
          <w:numId w:val="1"/>
        </w:numPr>
        <w:spacing w:lineRule="auto" w:line="240" w:before="0" w:after="0"/>
        <w:ind w:left="0" w:hanging="0"/>
        <w:contextualSpacing/>
        <w:rPr>
          <w:rFonts w:ascii="Calibri" w:hAnsi="Calibri"/>
          <w:color w:val="000000"/>
          <w:sz w:val="24"/>
          <w:szCs w:val="24"/>
        </w:rPr>
      </w:pPr>
      <w:commentRangeStart w:id="25"/>
      <w:r>
        <w:rPr>
          <w:rFonts w:ascii="Calibri" w:hAnsi="Calibri"/>
          <w:color w:val="000000"/>
          <w:sz w:val="24"/>
          <w:szCs w:val="24"/>
        </w:rPr>
        <w:t>A dotação relativa aos exercícios financeiros subsequentes será indicada após aprovação da Lei Orçamentária respectiva e liberação dos créditos correspondentes, mediante apostilamento.</w:t>
      </w:r>
    </w:p>
    <w:p>
      <w:pPr>
        <w:pStyle w:val="Nvel2Red"/>
        <w:numPr>
          <w:ilvl w:val="0"/>
          <w:numId w:val="0"/>
        </w:numPr>
        <w:spacing w:lineRule="auto" w:line="240" w:before="0" w:after="0"/>
        <w:ind w:left="1283" w:hanging="0"/>
        <w:contextualSpacing/>
        <w:rPr>
          <w:rFonts w:ascii="Calibri" w:hAnsi="Calibri"/>
          <w:color w:val="000000"/>
          <w:sz w:val="24"/>
          <w:szCs w:val="24"/>
        </w:rPr>
      </w:pPr>
      <w:commentRangeEnd w:id="25"/>
      <w:r>
        <w:commentReference w:id="25"/>
      </w: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SÉTIMA – DOS CASOS OMISSOS</w:t>
      </w:r>
    </w:p>
    <w:p>
      <w:pPr>
        <w:pStyle w:val="Nivel2"/>
        <w:numPr>
          <w:ilvl w:val="1"/>
          <w:numId w:val="1"/>
        </w:numPr>
        <w:spacing w:lineRule="auto" w:line="240" w:before="0" w:after="0"/>
        <w:ind w:left="0" w:hanging="0"/>
        <w:contextualSpacing/>
        <w:rPr>
          <w:rFonts w:ascii="Calibri" w:hAnsi="Calibri"/>
          <w:color w:val="000000"/>
          <w:sz w:val="24"/>
          <w:szCs w:val="24"/>
        </w:rPr>
      </w:pPr>
      <w:commentRangeStart w:id="26"/>
      <w:r>
        <w:rPr>
          <w:rFonts w:ascii="Calibri" w:hAnsi="Calibri"/>
          <w:color w:val="000000"/>
          <w:sz w:val="24"/>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2"/>
        <w:numPr>
          <w:ilvl w:val="0"/>
          <w:numId w:val="0"/>
        </w:numPr>
        <w:spacing w:lineRule="auto" w:line="240" w:before="0" w:after="0"/>
        <w:ind w:left="1283" w:hanging="0"/>
        <w:contextualSpacing/>
        <w:rPr>
          <w:rFonts w:ascii="Calibri" w:hAnsi="Calibri"/>
          <w:color w:val="000000"/>
          <w:sz w:val="24"/>
          <w:szCs w:val="24"/>
        </w:rPr>
      </w:pPr>
      <w:commentRangeEnd w:id="26"/>
      <w:r>
        <w:commentReference w:id="26"/>
      </w: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OITAVA – PUBLICAÇÃO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Incumbirá ao CONTRATANTE divulgar o presente instrumento no Portal Nacional de Contratações Públicas (PNCP), na forma prevista no art. 94 da Lei 14.133, de 2021, bem como no respectivo sítio oficial na Internet, em atenção ao art. 91, </w:t>
      </w:r>
      <w:r>
        <w:rPr>
          <w:rFonts w:ascii="Calibri" w:hAnsi="Calibri"/>
          <w:i/>
          <w:color w:val="000000"/>
          <w:sz w:val="24"/>
          <w:szCs w:val="24"/>
        </w:rPr>
        <w:t>caput,</w:t>
      </w:r>
      <w:r>
        <w:rPr>
          <w:rFonts w:ascii="Calibri" w:hAnsi="Calibri"/>
          <w:color w:val="000000"/>
          <w:sz w:val="24"/>
          <w:szCs w:val="24"/>
        </w:rPr>
        <w:t xml:space="preserve"> da Lei n.º 14.133, de 2021, e ao art. 8º, §2º, da Lei n. 12.527, de 2011, c/c art. 7º, §3º, inciso V, do Decreto n. 7.724, de 2012.</w:t>
      </w:r>
    </w:p>
    <w:p>
      <w:pPr>
        <w:pStyle w:val="Nivel2"/>
        <w:numPr>
          <w:ilvl w:val="0"/>
          <w:numId w:val="0"/>
        </w:numPr>
        <w:spacing w:lineRule="auto" w:line="240" w:before="0" w:after="0"/>
        <w:ind w:left="1283" w:hanging="0"/>
        <w:contextualSpacing/>
        <w:rPr>
          <w:rFonts w:ascii="Calibri" w:hAnsi="Calibri"/>
          <w:color w:val="000000"/>
          <w:sz w:val="24"/>
          <w:szCs w:val="24"/>
        </w:rPr>
      </w:pPr>
      <w:r>
        <w:rPr>
          <w:rFonts w:ascii="Calibri" w:hAnsi="Calibri"/>
          <w:color w:val="000000"/>
          <w:sz w:val="24"/>
          <w:szCs w:val="24"/>
        </w:rPr>
      </w:r>
    </w:p>
    <w:p>
      <w:pPr>
        <w:pStyle w:val="Nivel01"/>
        <w:numPr>
          <w:ilvl w:val="0"/>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CLÁUSULA DÉCIMA NONA– FORO</w:t>
      </w:r>
    </w:p>
    <w:p>
      <w:pPr>
        <w:pStyle w:val="Nivel2"/>
        <w:numPr>
          <w:ilvl w:val="1"/>
          <w:numId w:val="1"/>
        </w:numPr>
        <w:spacing w:lineRule="auto" w:line="240" w:before="0" w:after="0"/>
        <w:ind w:left="0" w:hanging="0"/>
        <w:contextualSpacing/>
        <w:rPr>
          <w:rFonts w:ascii="Calibri" w:hAnsi="Calibri"/>
          <w:color w:val="000000"/>
          <w:sz w:val="24"/>
          <w:szCs w:val="24"/>
        </w:rPr>
      </w:pPr>
      <w:r>
        <w:rPr>
          <w:rFonts w:ascii="Calibri" w:hAnsi="Calibri"/>
          <w:color w:val="000000"/>
          <w:sz w:val="24"/>
          <w:szCs w:val="24"/>
        </w:rPr>
        <w:t xml:space="preserve">Fica eleito o Foro da Justiça Federal em </w:t>
      </w:r>
      <w:r>
        <w:rPr>
          <w:rFonts w:ascii="Calibri" w:hAnsi="Calibri"/>
          <w:i/>
          <w:iCs/>
          <w:color w:val="000000"/>
          <w:sz w:val="24"/>
          <w:szCs w:val="24"/>
          <w:lang w:eastAsia="en-US"/>
        </w:rPr>
        <w:t>XXXXX</w:t>
      </w:r>
      <w:r>
        <w:rPr>
          <w:rFonts w:ascii="Calibri" w:hAnsi="Calibri"/>
          <w:color w:val="000000"/>
          <w:sz w:val="24"/>
          <w:szCs w:val="24"/>
        </w:rPr>
        <w:t xml:space="preserve">, Seção Judiciária de </w:t>
      </w:r>
      <w:r>
        <w:rPr>
          <w:rFonts w:ascii="Calibri" w:hAnsi="Calibri"/>
          <w:i/>
          <w:iCs/>
          <w:color w:val="000000"/>
          <w:sz w:val="24"/>
          <w:szCs w:val="24"/>
        </w:rPr>
        <w:t>XXXXX</w:t>
      </w:r>
      <w:r>
        <w:rPr>
          <w:rFonts w:ascii="Calibri" w:hAnsi="Calibri"/>
          <w:color w:val="000000"/>
          <w:sz w:val="24"/>
          <w:szCs w:val="24"/>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240" w:before="0" w:after="0"/>
        <w:ind w:left="0" w:firstLine="567"/>
        <w:contextualSpacing/>
        <w:rPr>
          <w:rFonts w:ascii="Calibri" w:hAnsi="Calibri"/>
          <w:color w:val="000000"/>
          <w:sz w:val="24"/>
          <w:szCs w:val="24"/>
        </w:rPr>
      </w:pPr>
      <w:r>
        <w:rPr>
          <w:rFonts w:ascii="Calibri" w:hAnsi="Calibri"/>
          <w:i/>
          <w:iCs/>
          <w:color w:val="000000"/>
          <w:sz w:val="24"/>
          <w:szCs w:val="24"/>
        </w:rPr>
        <w:t>[Local]</w:t>
      </w:r>
      <w:r>
        <w:rPr>
          <w:rFonts w:ascii="Calibri" w:hAnsi="Calibri"/>
          <w:i/>
          <w:iCs/>
          <w:color w:val="000000"/>
          <w:sz w:val="24"/>
          <w:szCs w:val="24"/>
        </w:rPr>
        <w:t>,</w:t>
      </w:r>
      <w:r>
        <w:rPr>
          <w:rFonts w:ascii="Calibri" w:hAnsi="Calibri"/>
          <w:i/>
          <w:iCs/>
          <w:color w:val="000000"/>
          <w:sz w:val="24"/>
          <w:szCs w:val="24"/>
        </w:rPr>
        <w:t xml:space="preserve"> [dia] </w:t>
      </w:r>
      <w:r>
        <w:rPr>
          <w:rFonts w:ascii="Calibri" w:hAnsi="Calibri"/>
          <w:i/>
          <w:iCs/>
          <w:color w:val="000000"/>
          <w:sz w:val="24"/>
          <w:szCs w:val="24"/>
        </w:rPr>
        <w:t>de</w:t>
      </w:r>
      <w:r>
        <w:rPr>
          <w:rFonts w:ascii="Calibri" w:hAnsi="Calibri"/>
          <w:i/>
          <w:iCs/>
          <w:color w:val="000000"/>
          <w:sz w:val="24"/>
          <w:szCs w:val="24"/>
        </w:rPr>
        <w:t xml:space="preserve"> [mês] </w:t>
      </w:r>
      <w:r>
        <w:rPr>
          <w:rFonts w:ascii="Calibri" w:hAnsi="Calibri"/>
          <w:i/>
          <w:iCs/>
          <w:color w:val="000000"/>
          <w:sz w:val="24"/>
          <w:szCs w:val="24"/>
        </w:rPr>
        <w:t>de</w:t>
      </w:r>
      <w:r>
        <w:rPr>
          <w:rFonts w:ascii="Calibri" w:hAnsi="Calibri"/>
          <w:i/>
          <w:iCs/>
          <w:color w:val="000000"/>
          <w:sz w:val="24"/>
          <w:szCs w:val="24"/>
        </w:rPr>
        <w:t xml:space="preserve"> [ano].</w:t>
      </w:r>
    </w:p>
    <w:p>
      <w:pPr>
        <w:pStyle w:val="Normal"/>
        <w:spacing w:lineRule="auto" w:line="240" w:before="0" w:after="0"/>
        <w:ind w:firstLine="567"/>
        <w:contextualSpacing/>
        <w:jc w:val="center"/>
        <w:rPr>
          <w:rFonts w:ascii="Calibri" w:hAnsi="Calibri"/>
          <w:color w:val="000000"/>
          <w:sz w:val="24"/>
          <w:szCs w:val="24"/>
        </w:rPr>
      </w:pPr>
      <w:commentRangeStart w:id="27"/>
      <w:r>
        <w:rPr>
          <w:rFonts w:cs="Arial" w:ascii="Calibri" w:hAnsi="Calibri"/>
          <w:bCs/>
          <w:color w:val="000000"/>
          <w:sz w:val="24"/>
          <w:szCs w:val="24"/>
        </w:rPr>
        <w:t>_________________________</w:t>
      </w:r>
    </w:p>
    <w:p>
      <w:pPr>
        <w:pStyle w:val="Normal"/>
        <w:spacing w:lineRule="auto" w:line="240" w:before="0" w:after="0"/>
        <w:ind w:firstLine="567"/>
        <w:contextualSpacing/>
        <w:jc w:val="center"/>
        <w:rPr>
          <w:rFonts w:ascii="Calibri" w:hAnsi="Calibri"/>
          <w:color w:val="000000"/>
          <w:sz w:val="24"/>
          <w:szCs w:val="24"/>
        </w:rPr>
      </w:pPr>
      <w:r>
        <w:rPr>
          <w:rFonts w:cs="Arial" w:ascii="Calibri" w:hAnsi="Calibri"/>
          <w:bCs/>
          <w:color w:val="000000"/>
          <w:sz w:val="24"/>
          <w:szCs w:val="24"/>
        </w:rPr>
        <w:t>Representante legal do CONTRATANTE</w:t>
      </w:r>
    </w:p>
    <w:p>
      <w:pPr>
        <w:pStyle w:val="Normal"/>
        <w:spacing w:lineRule="auto" w:line="240" w:before="0" w:after="0"/>
        <w:ind w:firstLine="567"/>
        <w:contextualSpacing/>
        <w:jc w:val="center"/>
        <w:rPr>
          <w:rFonts w:ascii="Calibri" w:hAnsi="Calibri"/>
          <w:color w:val="000000"/>
          <w:sz w:val="24"/>
          <w:szCs w:val="24"/>
        </w:rPr>
      </w:pPr>
      <w:r>
        <w:rPr>
          <w:rFonts w:cs="Arial" w:ascii="Calibri" w:hAnsi="Calibri"/>
          <w:color w:val="000000"/>
          <w:sz w:val="24"/>
          <w:szCs w:val="24"/>
        </w:rPr>
        <w:t>_________________________</w:t>
      </w:r>
    </w:p>
    <w:p>
      <w:pPr>
        <w:pStyle w:val="Normal"/>
        <w:spacing w:lineRule="auto" w:line="240" w:before="0" w:after="0"/>
        <w:ind w:firstLine="567"/>
        <w:contextualSpacing/>
        <w:jc w:val="center"/>
        <w:rPr>
          <w:rFonts w:ascii="Calibri" w:hAnsi="Calibri"/>
          <w:color w:val="000000"/>
          <w:sz w:val="24"/>
          <w:szCs w:val="24"/>
        </w:rPr>
      </w:pPr>
      <w:r>
        <w:rPr>
          <w:rFonts w:cs="Arial" w:ascii="Calibri" w:hAnsi="Calibri"/>
          <w:bCs/>
          <w:color w:val="000000"/>
          <w:sz w:val="24"/>
          <w:szCs w:val="24"/>
        </w:rPr>
        <w:t>Representante</w:t>
      </w:r>
      <w:r>
        <w:rPr>
          <w:rFonts w:cs="Arial" w:ascii="Calibri" w:hAnsi="Calibri"/>
          <w:color w:val="000000"/>
          <w:sz w:val="24"/>
          <w:szCs w:val="24"/>
        </w:rPr>
        <w:t xml:space="preserve"> legal do CONTRATADO</w:t>
      </w:r>
    </w:p>
    <w:p>
      <w:pPr>
        <w:pStyle w:val="Normal"/>
        <w:spacing w:lineRule="auto" w:line="240" w:before="0" w:after="0"/>
        <w:ind w:firstLine="567"/>
        <w:contextualSpacing/>
        <w:jc w:val="both"/>
        <w:rPr>
          <w:rFonts w:ascii="Calibri" w:hAnsi="Calibri"/>
          <w:color w:val="000000"/>
          <w:sz w:val="24"/>
          <w:szCs w:val="24"/>
        </w:rPr>
      </w:pPr>
      <w:r>
        <w:rPr>
          <w:rFonts w:cs="Arial" w:ascii="Calibri" w:hAnsi="Calibri"/>
          <w:i/>
          <w:iCs/>
          <w:color w:val="000000"/>
          <w:sz w:val="24"/>
          <w:szCs w:val="24"/>
        </w:rPr>
        <w:t>TESTEMUNHAS:</w:t>
      </w:r>
    </w:p>
    <w:p>
      <w:pPr>
        <w:pStyle w:val="Normal"/>
        <w:spacing w:lineRule="auto" w:line="240" w:before="0" w:after="0"/>
        <w:ind w:firstLine="567"/>
        <w:contextualSpacing/>
        <w:rPr>
          <w:rFonts w:ascii="Calibri" w:hAnsi="Calibri"/>
          <w:color w:val="000000"/>
          <w:sz w:val="24"/>
          <w:szCs w:val="24"/>
        </w:rPr>
      </w:pPr>
      <w:r>
        <w:rPr>
          <w:rFonts w:cs="Arial" w:ascii="Calibri" w:hAnsi="Calibri"/>
          <w:i/>
          <w:iCs/>
          <w:color w:val="000000"/>
          <w:sz w:val="24"/>
          <w:szCs w:val="24"/>
        </w:rPr>
        <w:t>1-</w:t>
      </w:r>
    </w:p>
    <w:p>
      <w:pPr>
        <w:pStyle w:val="Normal"/>
        <w:spacing w:lineRule="auto" w:line="240" w:before="0" w:after="0"/>
        <w:ind w:firstLine="567"/>
        <w:contextualSpacing/>
        <w:rPr>
          <w:rFonts w:ascii="Calibri" w:hAnsi="Calibri"/>
          <w:color w:val="000000"/>
          <w:sz w:val="24"/>
          <w:szCs w:val="24"/>
        </w:rPr>
      </w:pPr>
      <w:r>
        <w:rPr>
          <w:rFonts w:cs="Arial" w:ascii="Calibri" w:hAnsi="Calibri"/>
          <w:i/>
          <w:iCs/>
          <w:color w:val="000000"/>
          <w:sz w:val="24"/>
          <w:szCs w:val="24"/>
        </w:rPr>
        <w:t xml:space="preserve">2- </w:t>
      </w:r>
      <w:commentRangeEnd w:id="27"/>
      <w:r>
        <w:commentReference w:id="27"/>
      </w:r>
      <w:r>
        <w:rPr>
          <w:rFonts w:cs="Arial" w:ascii="Calibri" w:hAnsi="Calibri"/>
          <w:i/>
          <w:iCs/>
          <w:color w:val="000000"/>
          <w:sz w:val="24"/>
          <w:szCs w:val="24"/>
        </w:rPr>
      </w:r>
    </w:p>
    <w:sectPr>
      <w:headerReference w:type="default" r:id="rId3"/>
      <w:footerReference w:type="default" r:id="rId4"/>
      <w:type w:val="nextPage"/>
      <w:pgSz w:w="11906" w:h="16838"/>
      <w:pgMar w:left="1134" w:right="1134" w:header="471" w:top="1049"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DejaVu Sans" w:cs="Noto Sans Arabic UI"/>
          <w:b/>
          <w:bCs/>
          <w:i/>
          <w:iCs/>
          <w:color w:val="000000"/>
          <w:lang w:val="en-US" w:eastAsia="en-US" w:bidi="en-US"/>
        </w:rPr>
        <w:t xml:space="preserve">ORIENTAÇÕES PARA USO DO MODELO – </w:t>
      </w:r>
      <w:r>
        <w:rPr>
          <w:rFonts w:ascii="Liberation Serif" w:hAnsi="Liberation Serif" w:eastAsia="DejaVu Sans" w:cs="Noto Sans Arabic UI"/>
          <w:b/>
          <w:bCs/>
          <w:i/>
          <w:iCs/>
          <w:color w:val="FF0000"/>
          <w:lang w:val="en-US" w:eastAsia="en-US" w:bidi="en-US"/>
        </w:rPr>
        <w:t>LEITURA OBRIGATÓRIA</w:t>
      </w:r>
    </w:p>
    <w:p>
      <w:r>
        <w:rPr>
          <w:rFonts w:ascii="Liberation Serif" w:hAnsi="Liberation Serif" w:eastAsia="DejaVu Sans" w:cs="Noto Sans Arabic UI"/>
          <w:b/>
          <w:bCs/>
          <w:i/>
          <w:iCs/>
          <w:color w:val="000000"/>
          <w:lang w:val="en-US" w:eastAsia="en-US" w:bidi="en-US"/>
        </w:rPr>
        <w:t>1)</w:t>
      </w:r>
      <w:r>
        <w:rPr>
          <w:rFonts w:ascii="Liberation Serif" w:hAnsi="Liberation Serif" w:eastAsia="DejaVu Sans" w:cs="Noto Sans Arabic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Noto Sans Arabic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DejaVu Sans" w:cs="Noto Sans Arabic UI"/>
          <w:b/>
          <w:bCs/>
          <w:i/>
          <w:iCs/>
          <w:color w:val="000000"/>
          <w:lang w:val="en-US" w:eastAsia="en-US" w:bidi="en-US"/>
        </w:rPr>
        <w:t>2)</w:t>
      </w:r>
      <w:r>
        <w:rPr>
          <w:rFonts w:ascii="Liberation Serif" w:hAnsi="Liberation Serif" w:eastAsia="DejaVu Sans" w:cs="Noto Sans Arabic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Noto Sans Arabic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Noto Sans Arabic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DejaVu Sans" w:cs="Noto Sans Arabic UI"/>
          <w:b/>
          <w:bCs/>
          <w:i/>
          <w:iCs/>
          <w:color w:val="000000"/>
          <w:lang w:val="en-US" w:eastAsia="en-US" w:bidi="en-US"/>
        </w:rPr>
        <w:t>3)</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Noto Sans Arabic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DejaVu Sans" w:cs="Noto Sans Arabic UI"/>
          <w:b/>
          <w:bCs/>
          <w:i/>
          <w:iCs/>
          <w:color w:val="000000"/>
          <w:lang w:val="en-US" w:eastAsia="en-US" w:bidi="en-US"/>
        </w:rPr>
        <w:t>4)</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Noto Sans Arabic UI"/>
          <w:i/>
          <w:iCs/>
          <w:color w:val="000000"/>
          <w:lang w:val="en-US" w:eastAsia="en-US" w:bidi="en-US"/>
        </w:rPr>
        <w:t xml:space="preserve">, que deverão ser devidamente suprimidas ao se finalizar o documento na versão original. </w:t>
      </w:r>
    </w:p>
    <w:p>
      <w:r>
        <w:rPr>
          <w:rFonts w:ascii="Liberation Serif" w:hAnsi="Liberation Serif" w:eastAsia="DejaVu Sans" w:cs="Noto Sans Arabic UI"/>
          <w:b/>
          <w:bCs/>
          <w:i/>
          <w:iCs/>
          <w:color w:val="000000"/>
          <w:lang w:val="en-US" w:eastAsia="en-US" w:bidi="en-US"/>
        </w:rPr>
        <w:t>5)</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b/>
          <w:bCs/>
          <w:i/>
          <w:iCs/>
          <w:color w:val="000000"/>
          <w:lang w:val="en-US" w:eastAsia="en-US" w:bidi="en-US"/>
        </w:rPr>
        <w:t>Recomenda-se indicar no processo a versão (mês e ano) utilizada para elaboração da minuta</w:t>
      </w:r>
      <w:r>
        <w:rPr>
          <w:rFonts w:ascii="Liberation Serif" w:hAnsi="Liberation Serif" w:eastAsia="DejaVu Sans" w:cs="Noto Sans Arabic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DejaVu Sans" w:cs="Noto Sans Arabic UI"/>
          <w:b/>
          <w:bCs/>
          <w:i/>
          <w:iCs/>
          <w:color w:val="000000"/>
          <w:lang w:val="en-US" w:eastAsia="en-US" w:bidi="en-US"/>
        </w:rPr>
        <w:t>6)</w:t>
      </w:r>
      <w:r>
        <w:rPr>
          <w:rFonts w:ascii="Liberation Serif" w:hAnsi="Liberation Serif" w:eastAsia="DejaVu Sans" w:cs="Noto Sans Arabic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Noto Sans Arabic UI"/>
            <w:i/>
            <w:iCs/>
            <w:color w:val="000000"/>
            <w:lang w:val="en-US" w:eastAsia="en-US" w:bidi="en-US"/>
          </w:rPr>
          <w:t>cgu.modeloscontratacao@agu.gov.br</w:t>
        </w:r>
      </w:hyperlink>
    </w:p>
    <w:p>
      <w:r>
        <w:rPr>
          <w:rFonts w:ascii="Liberation Serif" w:hAnsi="Liberation Serif" w:eastAsia="DejaVu Sans" w:cs="Noto Sans Arabic UI"/>
          <w:b/>
          <w:bCs/>
          <w:i/>
          <w:iCs/>
          <w:color w:val="000000"/>
          <w:lang w:val="en-US" w:eastAsia="en-US" w:bidi="en-US"/>
        </w:rPr>
        <w:t>7)</w:t>
      </w:r>
      <w:r>
        <w:rPr>
          <w:rFonts w:ascii="Liberation Serif" w:hAnsi="Liberation Serif" w:eastAsia="DejaVu Sans" w:cs="Noto Sans Arabic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cs="Noto Sans Arabic UI" w:eastAsia="DejaVu Sans" w:ascii="Liberation Serif" w:hAnsi="Liberation Serif"/>
          <w:b/>
          <w:bCs/>
          <w:i/>
          <w:iCs/>
          <w:color w:val="000000"/>
          <w:lang w:bidi="en-US" w:eastAsia="en-US" w:val="en-US"/>
        </w:rPr>
        <w:t>Nota explicativa:</w:t>
      </w:r>
      <w:r>
        <w:rPr>
          <w:rFonts w:cs="Noto Sans Arabic UI" w:eastAsia="DejaVu Sans" w:ascii="Liberation Serif" w:hAnsi="Liberation Serif"/>
          <w:i/>
          <w:iCs/>
          <w:color w:val="000000"/>
          <w:lang w:bidi="en-US" w:eastAsia="en-US" w:val="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cs="Noto Sans Arabic UI" w:eastAsia="DejaVu Sans" w:ascii="Liberation Serif" w:hAnsi="Liberation Serif"/>
          <w:b/>
          <w:bCs/>
          <w:i/>
          <w:iCs/>
          <w:color w:val="000000"/>
          <w:lang w:bidi="en-US" w:eastAsia="en-US" w:val="en-US"/>
        </w:rPr>
        <w:t>não constem os números de documentos pessoais das pessoas naturais que irão assiná-los, como ocorre normalmente com os representantes da Administração e da empresa contratada</w:t>
      </w:r>
      <w:r>
        <w:rPr>
          <w:rFonts w:cs="Noto Sans Arabic UI" w:eastAsia="DejaVu Sans" w:ascii="Liberation Serif" w:hAnsi="Liberation Serif"/>
          <w:i/>
          <w:iCs/>
          <w:color w:val="000000"/>
          <w:lang w:bidi="en-US" w:eastAsia="en-US" w:val="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HYPERLINK "https://www.planalto.gov.br/ccivil_03/leis/l8666cons.htm" \l "art61"</w:instrText>
      </w:r>
      <w:r>
        <w:fldChar w:fldCharType="separate"/>
      </w:r>
      <w:r>
        <w:rPr>
          <w:rFonts w:cs="Noto Sans Arabic UI" w:eastAsia="DejaVu Sans" w:ascii="Liberation Serif" w:hAnsi="Liberation Serif"/>
          <w:i/>
          <w:iCs/>
          <w:color w:val="000000"/>
          <w:lang w:bidi="en-US" w:eastAsia="en-US" w:val="en-US"/>
        </w:rPr>
        <w:t>art. 61 da Lei nº 8.666, de 1993</w:t>
      </w:r>
      <w:r>
        <w:fldChar w:fldCharType="end"/>
      </w:r>
      <w:r>
        <w:rPr>
          <w:rFonts w:cs="Noto Sans Arabic UI" w:eastAsia="DejaVu Sans" w:ascii="Liberation Serif" w:hAnsi="Liberation Serif"/>
          <w:i/>
          <w:iCs/>
          <w:color w:val="000000"/>
          <w:lang w:bidi="en-US" w:eastAsia="en-US" w:val="en-US"/>
        </w:rPr>
        <w:t xml:space="preserve">, e o </w:t>
      </w:r>
      <w:r>
        <w:fldChar w:fldCharType="begin"/>
      </w:r>
      <w:r>
        <w:instrText> HYPERLINK "http://www.planalto.gov.br/ccivil_03/_ato2019-2022/2021/lei/L14133.htm" \l "art89§1"</w:instrText>
      </w:r>
      <w:r>
        <w:fldChar w:fldCharType="separate"/>
      </w:r>
      <w:r>
        <w:rPr>
          <w:rFonts w:cs="Noto Sans Arabic UI" w:eastAsia="DejaVu Sans" w:ascii="Liberation Serif" w:hAnsi="Liberation Serif"/>
          <w:i/>
          <w:iCs/>
          <w:color w:val="000000"/>
          <w:lang w:bidi="en-US" w:eastAsia="en-US" w:val="en-US"/>
        </w:rPr>
        <w:t>§1º do art. 89 da Lei nº 14.133, de 1º de abril de 2021</w:t>
      </w:r>
      <w:r>
        <w:fldChar w:fldCharType="end"/>
      </w:r>
      <w:r>
        <w:rPr>
          <w:rFonts w:cs="Noto Sans Arabic UI" w:eastAsia="DejaVu Sans" w:ascii="Liberation Serif" w:hAnsi="Liberation Serif"/>
          <w:i/>
          <w:iCs/>
          <w:color w:val="000000"/>
          <w:lang w:bidi="en-US" w:eastAsia="en-US" w:val="en-US"/>
        </w:rPr>
        <w:t>, exigem apenas esse dado”.</w:t>
      </w:r>
    </w:p>
  </w:comment>
  <w:comment w:id="2" w:author="Autor" w:date="0-00-00T00:00:00Z" w:initials="A">
    <w:p>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A tabela acima é meramente ilustrativa, podendo ser livremente alterada conforme o caso concreto.</w:t>
      </w:r>
    </w:p>
    <w:p>
      <w:r>
        <w:rPr>
          <w:rFonts w:ascii="Liberation Serif" w:hAnsi="Liberation Serif" w:eastAsia="DejaVu Sans" w:cs="Noto Sans Arabic UI"/>
          <w:lang w:val="en-US" w:eastAsia="en-US" w:bidi="en-US"/>
        </w:rPr>
      </w:r>
    </w:p>
    <w:p>
      <w:r>
        <w:rPr>
          <w:rFonts w:ascii="Liberation Serif" w:hAnsi="Liberation Serif" w:eastAsia="DejaVu Sans" w:cs="Noto Sans Arabic UI"/>
          <w:b/>
          <w:bCs/>
          <w:i/>
          <w:iCs/>
          <w:color w:val="000000"/>
          <w:lang w:val="en-US" w:eastAsia="en-US" w:bidi="en-US"/>
        </w:rPr>
        <w:t xml:space="preserve">Nota Explicativa 2: </w:t>
      </w:r>
      <w:r>
        <w:rPr>
          <w:rFonts w:ascii="Liberation Serif" w:hAnsi="Liberation Serif" w:eastAsia="DejaVu Sans" w:cs="Noto Sans Arabic UI"/>
          <w:i/>
          <w:iCs/>
          <w:color w:val="000000"/>
          <w:lang w:val="en-US" w:eastAsia="en-US" w:bidi="en-US"/>
        </w:rPr>
        <w:t>A justificativa para o parcelamento ou não do objeto deve constar do Estudo Técnico Preliminar (</w:t>
      </w:r>
      <w:r>
        <w:fldChar w:fldCharType="begin"/>
      </w:r>
      <w:r>
        <w:instrText> HYPERLINK "http://www.planalto.gov.br/ccivil_03/_ato2019-2022/2021/lei/L14133.htm" \l "art18§1"</w:instrText>
      </w:r>
      <w:r>
        <w:fldChar w:fldCharType="separate"/>
      </w:r>
      <w:r>
        <w:rPr>
          <w:rFonts w:ascii="Liberation Serif" w:hAnsi="Liberation Serif" w:eastAsia="DejaVu Sans" w:cs="Noto Sans Arabic UI"/>
          <w:i/>
          <w:iCs/>
          <w:color w:val="000000"/>
          <w:lang w:val="en-US" w:eastAsia="en-US" w:bidi="en-US"/>
        </w:rPr>
        <w:t>art. 18, §1º, inciso VIII, da Lei nº 14.133, de 2021</w:t>
      </w:r>
      <w:r>
        <w:fldChar w:fldCharType="end"/>
      </w:r>
      <w:r>
        <w:rPr>
          <w:rFonts w:ascii="Liberation Serif" w:hAnsi="Liberation Serif" w:eastAsia="DejaVu Sans" w:cs="Noto Sans Arabic UI"/>
          <w:i/>
          <w:iCs/>
          <w:color w:val="000000"/>
          <w:lang w:val="en-US" w:eastAsia="en-US" w:bidi="en-US"/>
        </w:rPr>
        <w:t xml:space="preserve">, e </w:t>
      </w:r>
      <w:r>
        <w:fldChar w:fldCharType="begin"/>
      </w:r>
      <w:r>
        <w:instrText> HYPERLINK "https://www.gov.br/compras/pt-br/acesso-a-informacao/legislacao/instrucoes-normativas/instrucao-normativa-seges-no-58-de-8-de-agosto-de-2022" \l "art9"</w:instrText>
      </w:r>
      <w:r>
        <w:fldChar w:fldCharType="separate"/>
      </w:r>
      <w:r>
        <w:rPr>
          <w:rFonts w:ascii="Liberation Serif" w:hAnsi="Liberation Serif" w:eastAsia="DejaVu Sans" w:cs="Noto Sans Arabic UI"/>
          <w:i/>
          <w:iCs/>
          <w:color w:val="000000"/>
          <w:lang w:val="en-US" w:eastAsia="en-US" w:bidi="en-US"/>
        </w:rPr>
        <w:t>art. 9º, inciso VII, da Instrução Normativa SEGES nº 58, de 8 de agosto de 2022</w:t>
      </w:r>
      <w:r>
        <w:fldChar w:fldCharType="end"/>
      </w:r>
      <w:r>
        <w:rPr>
          <w:rFonts w:ascii="Liberation Serif" w:hAnsi="Liberation Serif" w:eastAsia="DejaVu Sans" w:cs="Noto Sans Arabic UI"/>
          <w:i/>
          <w:iCs/>
          <w:color w:val="000000"/>
          <w:lang w:val="en-US" w:eastAsia="en-US" w:bidi="en-US"/>
        </w:rPr>
        <w:t>). Os serviços, como regra, devem atender ao parcelamento quando for tecnicamente viável e economicamente vantajoso (</w:t>
      </w:r>
      <w:r>
        <w:fldChar w:fldCharType="begin"/>
      </w:r>
      <w:r>
        <w:instrText> HYPERLINK "http://www.planalto.gov.br/ccivil_03/_ato2019-2022/2021/lei/L14133.htm" \l "art47"</w:instrText>
      </w:r>
      <w:r>
        <w:fldChar w:fldCharType="separate"/>
      </w:r>
      <w:r>
        <w:rPr>
          <w:rFonts w:ascii="Liberation Serif" w:hAnsi="Liberation Serif" w:eastAsia="DejaVu Sans" w:cs="Noto Sans Arabic UI"/>
          <w:i/>
          <w:iCs/>
          <w:color w:val="000000"/>
          <w:lang w:val="en-US" w:eastAsia="en-US" w:bidi="en-US"/>
        </w:rPr>
        <w:t>art. 47, inciso II, da Lei n. 14.133, de 2021</w:t>
      </w:r>
      <w:r>
        <w:fldChar w:fldCharType="end"/>
      </w:r>
      <w:r>
        <w:rPr>
          <w:rFonts w:ascii="Liberation Serif" w:hAnsi="Liberation Serif" w:eastAsia="DejaVu Sans" w:cs="Noto Sans Arabic UI"/>
          <w:i/>
          <w:iCs/>
          <w:color w:val="000000"/>
          <w:lang w:val="en-US" w:eastAsia="en-US" w:bidi="en-US"/>
        </w:rPr>
        <w:t xml:space="preserve">). Devem também ser observadas as regras do </w:t>
      </w:r>
      <w:r>
        <w:fldChar w:fldCharType="begin"/>
      </w:r>
      <w:r>
        <w:instrText> HYPERLINK "http://www.planalto.gov.br/ccivil_03/_ato2019-2022/2021/lei/L14133.htm" \l "art47§1"</w:instrText>
      </w:r>
      <w:r>
        <w:fldChar w:fldCharType="separate"/>
      </w:r>
      <w:r>
        <w:rPr>
          <w:rFonts w:ascii="Liberation Serif" w:hAnsi="Liberation Serif" w:eastAsia="DejaVu Sans" w:cs="Noto Sans Arabic UI"/>
          <w:i/>
          <w:iCs/>
          <w:color w:val="000000"/>
          <w:lang w:val="en-US" w:eastAsia="en-US" w:bidi="en-US"/>
        </w:rPr>
        <w:t>artigo 47, § 1º, da Lei n. 14.133, de 2021</w:t>
      </w:r>
      <w:r>
        <w:fldChar w:fldCharType="end"/>
      </w:r>
      <w:r>
        <w:rPr>
          <w:rFonts w:ascii="Liberation Serif" w:hAnsi="Liberation Serif" w:eastAsia="DejaVu Sans" w:cs="Noto Sans Arabic UI"/>
          <w:i/>
          <w:iCs/>
          <w:color w:val="000000"/>
          <w:lang w:val="en-US" w:eastAsia="en-US" w:bidi="en-US"/>
        </w:rPr>
        <w:t>, que trata de aspectos a serem considerados na aplicação do princípio do parcelamento.</w:t>
      </w:r>
    </w:p>
    <w:p>
      <w:r>
        <w:rPr>
          <w:rFonts w:ascii="Liberation Serif" w:hAnsi="Liberation Serif" w:eastAsia="DejaVu Sans" w:cs="Noto Sans Arabic UI"/>
          <w:lang w:val="en-US" w:eastAsia="en-US" w:bidi="en-US"/>
        </w:rPr>
      </w:r>
    </w:p>
    <w:p>
      <w:r>
        <w:rPr>
          <w:rFonts w:ascii="Liberation Serif" w:hAnsi="Liberation Serif" w:eastAsia="DejaVu Sans" w:cs="Noto Sans Arabic UI"/>
          <w:b/>
          <w:bCs/>
          <w:i/>
          <w:iCs/>
          <w:lang w:val="en-US" w:eastAsia="en-US" w:bidi="en-US"/>
        </w:rPr>
        <w:t>Nota Explicativa 3</w:t>
      </w:r>
      <w:r>
        <w:rPr>
          <w:rFonts w:ascii="Liberation Serif" w:hAnsi="Liberation Serif" w:eastAsia="DejaVu Sans" w:cs="Noto Sans Arabic UI"/>
          <w:i/>
          <w:iCs/>
          <w:lang w:val="en-US" w:eastAsia="en-US" w:bidi="en-US"/>
        </w:rPr>
        <w:t>: O parcelamento não é ponto verificado usualmente em contratações diretas, já que estas não são feitas em regime competitivo. No entanto, no caso de se tratar de dispensa de pequeno valor feita pelo sistema de dispensa eletrônica ou qualquer outro caso de dispensa submetida a algum regime competitivo, a análise sobre o parcelamento deverá ocorrer nos moldes acima.</w:t>
      </w:r>
    </w:p>
    <w:p>
      <w:r>
        <w:rPr>
          <w:rFonts w:ascii="Liberation Serif" w:hAnsi="Liberation Serif" w:eastAsia="DejaVu Sans" w:cs="Noto Sans Arabic UI"/>
          <w:lang w:val="en-US" w:eastAsia="en-US" w:bidi="en-US"/>
        </w:rPr>
      </w:r>
    </w:p>
    <w:p>
      <w:r>
        <w:rPr>
          <w:rFonts w:ascii="Liberation Serif" w:hAnsi="Liberation Serif" w:eastAsia="DejaVu Sans" w:cs="Noto Sans Arabic UI"/>
          <w:b/>
          <w:bCs/>
          <w:i/>
          <w:iCs/>
          <w:color w:val="000000"/>
          <w:lang w:val="en-US" w:eastAsia="en-US" w:bidi="en-US"/>
        </w:rPr>
        <w:t xml:space="preserve">Nota Explicativa 4: </w:t>
      </w:r>
      <w:r>
        <w:rPr>
          <w:rFonts w:ascii="Liberation Serif" w:hAnsi="Liberation Serif" w:eastAsia="DejaVu Sans" w:cs="Noto Sans Arabic UI"/>
          <w:i/>
          <w:iCs/>
          <w:color w:val="000000"/>
          <w:lang w:val="en-US" w:eastAsia="en-US" w:bidi="en-US"/>
        </w:rPr>
        <w:t xml:space="preserve">Em contratação de itens de valor correspondente a até R$ 80.000,00 deve ser garantida a participação exclusiva de Microempresa e Empresa de Pequeno Porte (ME e EPP), conforme </w:t>
      </w:r>
      <w:r>
        <w:fldChar w:fldCharType="begin"/>
      </w:r>
      <w:r>
        <w:instrText> HYPERLINK "http://www.planalto.gov.br/ccivil_03/Leis/LCP/Lcp123.htm" \l "art48"</w:instrText>
      </w:r>
      <w:r>
        <w:fldChar w:fldCharType="separate"/>
      </w:r>
      <w:r>
        <w:rPr>
          <w:rFonts w:ascii="Liberation Serif" w:hAnsi="Liberation Serif" w:eastAsia="DejaVu Sans" w:cs="Noto Sans Arabic UI"/>
          <w:i/>
          <w:iCs/>
          <w:color w:val="000000"/>
          <w:lang w:val="en-US" w:eastAsia="en-US" w:bidi="en-US"/>
        </w:rPr>
        <w:t>artigo 48, inciso I, da Lei Complementar nº 123, de 14 de dezembro de 2006</w:t>
      </w:r>
      <w:r>
        <w:fldChar w:fldCharType="end"/>
      </w:r>
      <w:r>
        <w:rPr>
          <w:rFonts w:ascii="Liberation Serif" w:hAnsi="Liberation Serif" w:eastAsia="DejaVu Sans" w:cs="Noto Sans Arabic UI"/>
          <w:i/>
          <w:iCs/>
          <w:color w:val="000000"/>
          <w:lang w:val="en-US" w:eastAsia="en-US" w:bidi="en-US"/>
        </w:rPr>
        <w:t xml:space="preserve">, e </w:t>
      </w:r>
      <w:r>
        <w:fldChar w:fldCharType="begin"/>
      </w:r>
      <w:r>
        <w:instrText> HYPERLINK "http://www.planalto.gov.br/ccivil_03/_Ato2015-2018/2015/Decreto/D8538.htm" \l "art6"</w:instrText>
      </w:r>
      <w:r>
        <w:fldChar w:fldCharType="separate"/>
      </w:r>
      <w:r>
        <w:rPr>
          <w:rFonts w:ascii="Liberation Serif" w:hAnsi="Liberation Serif" w:eastAsia="DejaVu Sans" w:cs="Noto Sans Arabic UI"/>
          <w:i/>
          <w:iCs/>
          <w:color w:val="000000"/>
          <w:lang w:val="en-US" w:eastAsia="en-US" w:bidi="en-US"/>
        </w:rPr>
        <w:t>artigo 6º do Decreto nº 8.538, de 06 de outubro de 2015).</w:t>
      </w:r>
      <w:r>
        <w:fldChar w:fldCharType="end"/>
      </w:r>
    </w:p>
    <w:p>
      <w:r>
        <w:rPr>
          <w:rFonts w:ascii="Liberation Serif" w:hAnsi="Liberation Serif" w:eastAsia="DejaVu Sans" w:cs="Noto Sans Arabic UI"/>
          <w:lang w:val="en-US" w:eastAsia="en-US" w:bidi="en-US"/>
        </w:rPr>
      </w:r>
    </w:p>
    <w:p>
      <w:r>
        <w:rPr>
          <w:rFonts w:ascii="Liberation Serif" w:hAnsi="Liberation Serif" w:eastAsia="DejaVu Sans" w:cs="Noto Sans Arabic UI"/>
          <w:b/>
          <w:bCs/>
          <w:i/>
          <w:iCs/>
          <w:color w:val="000000"/>
          <w:lang w:val="en-US" w:eastAsia="en-US" w:bidi="en-US"/>
        </w:rPr>
        <w:t>Nota Explicativa 5:</w:t>
      </w:r>
      <w:r>
        <w:rPr>
          <w:rFonts w:ascii="Liberation Serif" w:hAnsi="Liberation Serif" w:eastAsia="DejaVu Sans" w:cs="Noto Sans Arabic UI"/>
          <w:i/>
          <w:iCs/>
          <w:color w:val="000000"/>
          <w:lang w:val="en-US" w:eastAsia="en-US" w:bidi="en-US"/>
        </w:rPr>
        <w:t xml:space="preserve"> Building Information Modelling – BIM: O Decreto nº 10.306/2020 trata da utilização do Building Information Modelling (BIM) na execução direta ou indireta de obras e serviços de engenharia realizada pelos órgãos e pelas entidades da administração pública federal, conforme Estratégia BIM BR, instituída pelo </w:t>
      </w:r>
      <w:r>
        <w:rPr>
          <w:rFonts w:ascii="Liberation Serif" w:hAnsi="Liberation Serif" w:eastAsia="DejaVu Sans" w:cs="Noto Sans Arabic UI"/>
          <w:lang w:val="en-US" w:eastAsia="en-US" w:bidi="en-US"/>
        </w:rPr>
        <w:t xml:space="preserve">Decreto nº 11.888, de 22 de janeiro de 2024. </w:t>
      </w:r>
      <w:r>
        <w:rPr>
          <w:rFonts w:ascii="Liberation Serif" w:hAnsi="Liberation Serif" w:eastAsia="DejaVu Sans" w:cs="Noto Sans Arabic UI"/>
          <w:i/>
          <w:iCs/>
          <w:color w:val="000000"/>
          <w:lang w:val="en-US" w:eastAsia="en-US" w:bidi="en-US"/>
        </w:rPr>
        <w:t xml:space="preserve"> Building Information Modelling - BIM ou Modelagem da Informação da Construção corresponde ao “conjunto de tecnologias e processos integrados que permite a criação, a utilização e a atualização de modelos digitais de uma construção, de modo colaborativo, que sirva a todos os participantes do empreendimento, em qualquer etapa do ciclo de vida da construção” (art. 3º, inciso II, do Decreto nº 10.306/2020).</w:t>
      </w:r>
    </w:p>
    <w:p>
      <w:r>
        <w:rPr>
          <w:rFonts w:ascii="Liberation Serif" w:hAnsi="Liberation Serif" w:eastAsia="DejaVu Sans" w:cs="Noto Sans Arabic UI"/>
          <w:i/>
          <w:iCs/>
          <w:color w:val="000000"/>
          <w:lang w:val="en-US" w:eastAsia="en-US" w:bidi="en-US"/>
        </w:rPr>
        <w:t>De acordo com o artigo 2º do referido Decreto, alguns Ministérios, Secretarias e Autarquias foram desde logo vinculados à ação de disseminação do BIM. Desse modo, se for o caso, deverá a Administração efetuar o planejamento da contratação com base nas diretrizes estabelecidas no Decreto nº 10.306/2020, em especial por conta da previsão do artigo 19, §3º, da Lei nº 14.133/2021, que estabelece que, nas licitações de obras e serviços de engenharia e arquitetura, sempre que adequada ao objeto contratual, será preferencialmente adotada a Modelagem da Informação da Construção (Building Information Modelling - BIM) ou tecnologias e processos integrados similares ou mais avançados que venham a substituí-la.</w:t>
      </w:r>
    </w:p>
  </w:comment>
  <w:comment w:id="3" w:author="Autor" w:date="0-00-00T00:00:00Z" w:initials="A">
    <w:p>
      <w:r>
        <w:rPr>
          <w:rFonts w:ascii="Liberation Serif" w:hAnsi="Liberation Serif" w:eastAsia="DejaVu Sans" w:cs="Noto Sans Arabic UI"/>
          <w:b/>
          <w:bCs/>
          <w:i/>
          <w:iCs/>
          <w:lang w:val="en-US" w:eastAsia="en-US" w:bidi="en-US"/>
        </w:rPr>
        <w:t xml:space="preserve">Nota Explicativa: </w:t>
      </w:r>
      <w:r>
        <w:rPr>
          <w:rFonts w:ascii="Liberation Serif" w:hAnsi="Liberation Serif" w:eastAsia="DejaVu Sans" w:cs="Noto Sans Arabic UI"/>
          <w:i/>
          <w:iCs/>
          <w:lang w:val="en-US" w:eastAsia="en-US" w:bidi="en-US"/>
        </w:rPr>
        <w:t xml:space="preserve">Não preencher as colunas indicativas de valores quando se tratar de orçamento sigiloso. </w:t>
      </w:r>
    </w:p>
  </w:comment>
  <w:comment w:id="4" w:author="Autor" w:date="0-00-00T00:00:00Z" w:initials="A">
    <w:p>
      <w:r>
        <w:rPr>
          <w:rFonts w:ascii="Liberation Serif" w:hAnsi="Liberation Serif" w:eastAsia="DejaVu Sans" w:cs="Noto Sans Arabic UI"/>
          <w:b/>
          <w:i/>
          <w:lang w:val="en-US" w:eastAsia="en-US" w:bidi="en-US"/>
        </w:rPr>
        <w:t>Nota Explicativa</w:t>
      </w:r>
      <w:r>
        <w:rPr>
          <w:rFonts w:ascii="Liberation Serif" w:hAnsi="Liberation Serif" w:eastAsia="DejaVu Sans" w:cs="Noto Sans Arabic UI"/>
          <w:i/>
          <w:lang w:val="en-US" w:eastAsia="en-US" w:bidi="en-US"/>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5" w:author="Autor" w:date="0-00-00T00:00:00Z" w:initials="A">
    <w:p>
      <w:r>
        <w:rPr>
          <w:rFonts w:ascii="Liberation Serif" w:hAnsi="Liberation Serif" w:eastAsia="DejaVu Sans" w:cs="Noto Sans Arabic UI"/>
          <w:b/>
          <w:lang w:val="en-US" w:eastAsia="en-US" w:bidi="en-US"/>
        </w:rPr>
        <w:t>Nota Explicativa</w:t>
      </w:r>
      <w:r>
        <w:rPr>
          <w:rFonts w:ascii="Liberation Serif" w:hAnsi="Liberation Serif" w:eastAsia="DejaVu Sans" w:cs="Noto Sans Arabic UI"/>
          <w:lang w:val="en-US" w:eastAsia="en-US" w:bidi="en-US"/>
        </w:rPr>
        <w:t>: O artigo 84 da Lei 14.133 fixa o prazo de 1 (um) ano para a ata de registro de preços, admitindo a prorrogação por igual período.</w:t>
      </w:r>
    </w:p>
  </w:comment>
  <w:comment w:id="6"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Caso se trate de contrato de valor estimativo, em que a própria demanda é variável, cabe inserir o subitem acima.</w:t>
      </w:r>
    </w:p>
  </w:comment>
  <w:comment w:id="7"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Essa disposição decorre do §4º, do art. 137, da Lei nº 14.133, de 2021.</w:t>
      </w:r>
    </w:p>
  </w:comment>
  <w:comment w:id="10"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Noto Sans Arabic UI"/>
          <w:i/>
          <w:iCs/>
          <w:lang w:val="en-US" w:eastAsia="en-US" w:bidi="en-US"/>
        </w:rPr>
        <w:t>objeto.</w:t>
      </w:r>
    </w:p>
  </w:comment>
  <w:comment w:id="11"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r>
        <w:rPr>
          <w:rFonts w:ascii="Liberation Serif" w:hAnsi="Liberation Serif" w:eastAsia="DejaVu Sans" w:cs="Noto Sans Arabic UI"/>
          <w:b/>
          <w:bCs/>
          <w:i/>
          <w:iCs/>
          <w:color w:val="000000"/>
          <w:lang w:val="en-US" w:eastAsia="en-US" w:bidi="en-US"/>
        </w:rPr>
        <w:t>Nota explicativa 1:</w:t>
      </w:r>
      <w:r>
        <w:rPr>
          <w:rFonts w:ascii="Liberation Serif" w:hAnsi="Liberation Serif" w:eastAsia="DejaVu Sans" w:cs="Noto Sans Arabic UI"/>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eastAsia="DejaVu Sans" w:cs="Noto Sans Arabic UI"/>
          <w:i/>
          <w:iCs/>
          <w:color w:val="000000"/>
          <w:lang w:val="en-US" w:eastAsia="en-US" w:bidi="en-US"/>
        </w:rPr>
        <w:t xml:space="preserve">Via de regra, a prestação de serviços de modo geral é hipótese de incidência de tributação municipal (Imposto Sobre Serviços de Qualquer Natureza - ISSQN), conforme lista anexa </w:t>
      </w:r>
      <w:hyperlink r:id="rId2">
        <w:r>
          <w:rPr>
            <w:rFonts w:ascii="Liberation Serif" w:hAnsi="Liberation Serif" w:eastAsia="DejaVu Sans" w:cs="Noto Sans Arabic UI"/>
            <w:i/>
            <w:iCs/>
            <w:color w:val="000000"/>
            <w:lang w:val="en-US" w:eastAsia="en-US" w:bidi="en-US"/>
          </w:rPr>
          <w:t>à Lei Complementar nº 116/2003</w:t>
        </w:r>
      </w:hyperlink>
      <w:r>
        <w:rPr>
          <w:rFonts w:ascii="Liberation Serif" w:hAnsi="Liberation Serif" w:eastAsia="DejaVu Sans" w:cs="Noto Sans Arabic UI"/>
          <w:i/>
          <w:iCs/>
          <w:color w:val="000000"/>
          <w:lang w:val="en-US" w:eastAsia="en-US" w:bidi="en-US"/>
        </w:rPr>
        <w:t xml:space="preserve">.  </w:t>
      </w:r>
    </w:p>
    <w:p>
      <w:r>
        <w:rPr>
          <w:rFonts w:ascii="Liberation Serif" w:hAnsi="Liberation Serif" w:eastAsia="DejaVu Sans" w:cs="Noto Sans Arabic UI"/>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HYPERLINK "https://www.planalto.gov.br/ccivil_03/constituicao/constituicao.htm" \l "art155"</w:instrText>
      </w:r>
      <w:r>
        <w:fldChar w:fldCharType="separate"/>
      </w:r>
      <w:r>
        <w:rPr>
          <w:rFonts w:ascii="Liberation Serif" w:hAnsi="Liberation Serif" w:eastAsia="DejaVu Sans" w:cs="Noto Sans Arabic UI"/>
          <w:i/>
          <w:iCs/>
          <w:color w:val="000000"/>
          <w:lang w:val="en-US" w:eastAsia="en-US" w:bidi="en-US"/>
        </w:rPr>
        <w:t>art. 155, II, da CF/88</w:t>
      </w:r>
      <w:r>
        <w:fldChar w:fldCharType="end"/>
      </w:r>
      <w:r>
        <w:rPr>
          <w:rFonts w:ascii="Liberation Serif" w:hAnsi="Liberation Serif" w:eastAsia="DejaVu Sans" w:cs="Noto Sans Arabic UI"/>
          <w:i/>
          <w:iCs/>
          <w:color w:val="000000"/>
          <w:lang w:val="en-US" w:eastAsia="en-US" w:bidi="en-US"/>
        </w:rPr>
        <w:t xml:space="preserve">), bem como as exceções expressamente previstas na lista da referida LC 116/2003. </w:t>
      </w:r>
    </w:p>
  </w:comment>
  <w:comment w:id="13"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No caso de contratações de serviços de manutenção e assistência técnica, recomenda-se incluir esses itens, a luz do art. 47, § 2º, da Lei nº 14.133, de 2021.</w:t>
      </w:r>
    </w:p>
  </w:comment>
  <w:comment w:id="14" w:author="Autor" w:date="0-00-00T00:00:00Z" w:initials="A">
    <w:p>
      <w:r>
        <w:rPr>
          <w:rFonts w:ascii="Liberation Serif" w:hAnsi="Liberation Serif" w:eastAsia="DejaVu Sans" w:cs="Noto Sans Arabic UI"/>
          <w:b/>
          <w:bCs/>
          <w:i/>
          <w:iCs/>
          <w:lang w:val="en-US" w:eastAsia="en-US" w:bidi="en-US"/>
        </w:rPr>
        <w:t xml:space="preserve">Nota explicativa 1: </w:t>
      </w:r>
      <w:r>
        <w:rPr>
          <w:rFonts w:ascii="Liberation Serif" w:hAnsi="Liberation Serif" w:eastAsia="DejaVu Sans" w:cs="Noto Sans Arabic UI"/>
          <w:i/>
          <w:iCs/>
          <w:lang w:val="en-US" w:eastAsia="en-US" w:bidi="en-US"/>
        </w:rPr>
        <w:t>Incluir esses itens caso o contrato tenha por objeto</w:t>
      </w:r>
      <w:r>
        <w:rPr>
          <w:rFonts w:ascii="Liberation Serif" w:hAnsi="Liberation Serif" w:eastAsia="DejaVu Sans" w:cs="Noto Sans Arabic UI"/>
          <w:i/>
          <w:iCs/>
          <w:color w:val="000000"/>
          <w:lang w:val="en-US" w:eastAsia="en-US" w:bidi="en-US"/>
        </w:rPr>
        <w:t xml:space="preserve"> a elaboração de </w:t>
      </w:r>
      <w:r>
        <w:rPr>
          <w:rFonts w:ascii="Liberation Serif" w:hAnsi="Liberation Serif" w:eastAsia="DejaVu Sans" w:cs="Noto Sans Arabic UI"/>
          <w:i/>
          <w:iCs/>
          <w:lang w:val="en-US" w:eastAsia="en-US" w:bidi="en-U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r>
        <w:fldChar w:fldCharType="begin"/>
      </w:r>
      <w:r>
        <w:instrText> HYPERLINK "http://www.planalto.gov.br/ccivil_03/_ato2019-2022/2021/lei/L14133.htm" \l "art93"</w:instrText>
      </w:r>
      <w:r>
        <w:fldChar w:fldCharType="separate"/>
      </w:r>
      <w:r>
        <w:rPr>
          <w:rFonts w:ascii="Liberation Serif" w:hAnsi="Liberation Serif" w:eastAsia="DejaVu Sans" w:cs="Noto Sans Arabic UI"/>
          <w:i/>
          <w:iCs/>
          <w:lang w:val="en-US" w:eastAsia="en-US" w:bidi="en-US"/>
        </w:rPr>
        <w:t>art. 93, caput, da Lei n.º 14.133/2021.</w:t>
      </w:r>
      <w:r>
        <w:fldChar w:fldCharType="end"/>
      </w:r>
      <w:r>
        <w:rPr>
          <w:rFonts w:ascii="Liberation Serif" w:hAnsi="Liberation Serif" w:eastAsia="DejaVu Sans" w:cs="Noto Sans Arabic UI"/>
          <w:i/>
          <w:iCs/>
          <w:lang w:val="en-US" w:eastAsia="en-US" w:bidi="en-US"/>
        </w:rPr>
        <w:t xml:space="preserve"> </w:t>
      </w:r>
    </w:p>
    <w:p>
      <w:r>
        <w:rPr>
          <w:rFonts w:ascii="Liberation Serif" w:hAnsi="Liberation Serif" w:eastAsia="DejaVu Sans" w:cs="Noto Sans Arabic UI"/>
          <w:b/>
          <w:bCs/>
          <w:i/>
          <w:iCs/>
          <w:lang w:val="en-US" w:eastAsia="en-US" w:bidi="en-US"/>
        </w:rPr>
        <w:t>Nota Explicativa 2:</w:t>
      </w:r>
      <w:r>
        <w:rPr>
          <w:rFonts w:ascii="Liberation Serif" w:hAnsi="Liberation Serif" w:eastAsia="DejaVu Sans" w:cs="Noto Sans Arabic UI"/>
          <w:i/>
          <w:iCs/>
          <w:lang w:val="en-US" w:eastAsia="en-US" w:bidi="en-US"/>
        </w:rPr>
        <w:t xml:space="preserve"> Vale registrar que o </w:t>
      </w:r>
      <w:r>
        <w:fldChar w:fldCharType="begin"/>
      </w:r>
      <w:r>
        <w:instrText> HYPERLINK "http://www.planalto.gov.br/ccivil_03/_ato2019-2022/2021/lei/L14133.htm" \l "art93§2"</w:instrText>
      </w:r>
      <w:r>
        <w:fldChar w:fldCharType="separate"/>
      </w:r>
      <w:r>
        <w:rPr>
          <w:rFonts w:ascii="Liberation Serif" w:hAnsi="Liberation Serif" w:eastAsia="DejaVu Sans" w:cs="Noto Sans Arabic UI"/>
          <w:i/>
          <w:iCs/>
          <w:lang w:val="en-US" w:eastAsia="en-US" w:bidi="en-US"/>
        </w:rPr>
        <w:t>§2º do art. 93</w:t>
      </w:r>
      <w:r>
        <w:fldChar w:fldCharType="end"/>
      </w:r>
      <w:r>
        <w:rPr>
          <w:rFonts w:ascii="Liberation Serif" w:hAnsi="Liberation Serif" w:eastAsia="DejaVu Sans" w:cs="Noto Sans Arabic UI"/>
          <w:i/>
          <w:iCs/>
          <w:lang w:val="en-US" w:eastAsia="en-US" w:bidi="en-U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3">
        <w:r>
          <w:rPr>
            <w:rFonts w:ascii="Liberation Serif" w:hAnsi="Liberation Serif" w:eastAsia="DejaVu Sans" w:cs="Noto Sans Arabic UI"/>
            <w:i/>
            <w:iCs/>
            <w:lang w:val="en-US" w:eastAsia="en-US" w:bidi="en-US"/>
          </w:rPr>
          <w:t>Lei nº 10.973, de 2 de dezembro de 2004</w:t>
        </w:r>
      </w:hyperlink>
      <w:r>
        <w:rPr>
          <w:rFonts w:ascii="Liberation Serif" w:hAnsi="Liberation Serif" w:eastAsia="DejaVu Sans" w:cs="Noto Sans Arabic UI"/>
          <w:i/>
          <w:iCs/>
          <w:lang w:val="en-US" w:eastAsia="en-US" w:bidi="en-US"/>
        </w:rPr>
        <w:t>”.</w:t>
      </w:r>
    </w:p>
    <w:p>
      <w:r>
        <w:rPr>
          <w:rFonts w:ascii="Liberation Serif" w:hAnsi="Liberation Serif" w:eastAsia="DejaVu Sans" w:cs="Noto Sans Arabic UI"/>
          <w:b/>
          <w:bCs/>
          <w:i/>
          <w:iCs/>
          <w:lang w:val="en-US" w:eastAsia="en-US" w:bidi="en-US"/>
        </w:rPr>
        <w:t>Nota Explicativa 3:</w:t>
      </w:r>
      <w:r>
        <w:rPr>
          <w:rFonts w:ascii="Liberation Serif" w:hAnsi="Liberation Serif" w:eastAsia="DejaVu Sans" w:cs="Noto Sans Arabic UI"/>
          <w:i/>
          <w:iCs/>
          <w:lang w:val="en-US" w:eastAsia="en-US" w:bidi="en-US"/>
        </w:rPr>
        <w:t xml:space="preserve"> Acrescentar o subitem a seguir caso o objeto consista na elaboração de projeto relativo a obra imaterial de caráter tecnológico, insuscetível de privilégio, nos termos do </w:t>
      </w:r>
      <w:r>
        <w:fldChar w:fldCharType="begin"/>
      </w:r>
      <w:r>
        <w:instrText> HYPERLINK "http://www.planalto.gov.br/ccivil_03/_ato2019-2022/2021/lei/L14133.htm" \l "art93§1"</w:instrText>
      </w:r>
      <w:r>
        <w:fldChar w:fldCharType="separate"/>
      </w:r>
      <w:r>
        <w:rPr>
          <w:rFonts w:ascii="Liberation Serif" w:hAnsi="Liberation Serif" w:eastAsia="DejaVu Sans" w:cs="Noto Sans Arabic UI"/>
          <w:i/>
          <w:iCs/>
          <w:lang w:val="en-US" w:eastAsia="en-US" w:bidi="en-US"/>
        </w:rPr>
        <w:t>art. 93, § 1º, da Lei n.º 14.133/2021.</w:t>
      </w:r>
      <w:r>
        <w:fldChar w:fldCharType="end"/>
      </w:r>
      <w:r>
        <w:rPr>
          <w:rFonts w:ascii="Liberation Serif" w:hAnsi="Liberation Serif" w:eastAsia="DejaVu Sans" w:cs="Noto Sans Arabic UI"/>
          <w:i/>
          <w:iCs/>
          <w:lang w:val="en-US" w:eastAsia="en-US" w:bidi="en-US"/>
        </w:rPr>
        <w:t xml:space="preserve"> </w:t>
      </w:r>
    </w:p>
  </w:comment>
  <w:comment w:id="15" w:author="Autor" w:date="0-00-00T00:00:00Z" w:initials="A">
    <w:p>
      <w:r>
        <w:rPr>
          <w:rFonts w:ascii="Liberation Serif" w:hAnsi="Liberation Serif" w:eastAsia="DejaVu Sans" w:cs="Noto Sans Arabic UI"/>
          <w:b/>
          <w:bCs/>
          <w:lang w:val="en-US" w:eastAsia="en-US" w:bidi="en-US"/>
        </w:rPr>
        <w:t>Nota Explicativa 1:</w:t>
      </w:r>
      <w:r>
        <w:rPr>
          <w:rFonts w:ascii="Liberation Serif" w:hAnsi="Liberation Serif" w:eastAsia="DejaVu Sans" w:cs="Noto Sans Arabic UI"/>
          <w:lang w:val="en-US" w:eastAsia="en-US" w:bidi="en-US"/>
        </w:rPr>
        <w:t xml:space="preserve"> Essa cláusula depende da existência de acordo de cooperação técnica que possibilite a implantação da política pública tratada pelo Decreto 11.430, de 8 de março de 2023.</w:t>
      </w:r>
    </w:p>
    <w:p>
      <w:r>
        <w:rPr>
          <w:rFonts w:ascii="Liberation Serif" w:hAnsi="Liberation Serif" w:eastAsia="DejaVu Sans" w:cs="Noto Sans Arabic UI"/>
          <w:lang w:val="en-US" w:eastAsia="en-US" w:bidi="en-US"/>
        </w:rPr>
      </w:r>
    </w:p>
    <w:p>
      <w:r>
        <w:rPr>
          <w:rFonts w:ascii="Liberation Serif" w:hAnsi="Liberation Serif" w:eastAsia="DejaVu Sans" w:cs="Noto Sans Arabic UI"/>
          <w:b/>
          <w:bCs/>
          <w:lang w:val="en-US" w:eastAsia="en-US" w:bidi="en-US"/>
        </w:rPr>
        <w:t xml:space="preserve">Nota Explicativa 2: </w:t>
      </w:r>
      <w:r>
        <w:rPr>
          <w:rFonts w:ascii="Liberation Serif" w:hAnsi="Liberation Serif" w:eastAsia="DejaVu Sans" w:cs="Noto Sans Arabic UI"/>
          <w:lang w:val="en-US" w:eastAsia="en-US" w:bidi="en-US"/>
        </w:rPr>
        <w:t>Conforme Decreto 11.430, de 2023, os editais de licitação e avisos de contratação direta irão prever exigência de reserva de vagas para mulheres vítimas de violência. Logo, não é necessário fazer a exigência em contratos em andamento. É que, se fosse feita essa exigência nos contratos em andamento, a medida poderia causar dispensa sem justa causa de pessoas já empregadas e custos relativos à dispensa. Por isso, o ideal é que apenas em novas contratações a medida seja adotada, para haver uma transição adequada.</w:t>
      </w:r>
    </w:p>
    <w:p>
      <w:r>
        <w:rPr>
          <w:rFonts w:ascii="Liberation Serif" w:hAnsi="Liberation Serif" w:eastAsia="DejaVu Sans" w:cs="Noto Sans Arabic UI"/>
          <w:lang w:val="en-US" w:eastAsia="en-US" w:bidi="en-US"/>
        </w:rPr>
      </w:r>
    </w:p>
    <w:p>
      <w:r>
        <w:rPr>
          <w:rFonts w:ascii="Liberation Serif" w:hAnsi="Liberation Serif" w:eastAsia="DejaVu Sans" w:cs="Noto Sans Arabic UI"/>
          <w:b/>
          <w:bCs/>
          <w:lang w:val="en-US" w:eastAsia="en-US" w:bidi="en-US"/>
        </w:rPr>
        <w:t xml:space="preserve">Nota Explicativa 3: </w:t>
      </w:r>
      <w:r>
        <w:rPr>
          <w:rFonts w:ascii="Liberation Serif" w:hAnsi="Liberation Serif" w:eastAsia="DejaVu Sans" w:cs="Noto Sans Arabic UI"/>
          <w:lang w:val="en-US" w:eastAsia="en-US" w:bidi="en-US"/>
        </w:rPr>
        <w:t>Caso não haja mulheres na condição especificada pelo Decreto disponíveis para a contratação em número suficiente para preencher as vagas reservadas, a empresa contratada poderá contratar livremente. Porém, sempre que houver algum desligamento, a empresa deverá consultar a Administração para verificar se surgiram mulheres elegíveis para preencher as vagas reservadas.</w:t>
      </w:r>
    </w:p>
    <w:p>
      <w:r>
        <w:rPr>
          <w:rFonts w:ascii="Liberation Serif" w:hAnsi="Liberation Serif" w:eastAsia="DejaVu Sans" w:cs="Noto Sans Arabic UI"/>
          <w:lang w:val="en-US" w:eastAsia="en-US" w:bidi="en-US"/>
        </w:rPr>
      </w:r>
    </w:p>
    <w:p>
      <w:r>
        <w:rPr>
          <w:rFonts w:ascii="Liberation Serif" w:hAnsi="Liberation Serif" w:eastAsia="DejaVu Sans" w:cs="Noto Sans Arabic UI"/>
          <w:b/>
          <w:bCs/>
          <w:lang w:val="en-US" w:eastAsia="en-US" w:bidi="en-US"/>
        </w:rPr>
        <w:t>Nota Explicativa 4:</w:t>
      </w:r>
      <w:r>
        <w:rPr>
          <w:rFonts w:ascii="Liberation Serif" w:hAnsi="Liberation Serif" w:eastAsia="DejaVu Sans" w:cs="Noto Sans Arabic UI"/>
          <w:lang w:val="en-US" w:eastAsia="en-US" w:bidi="en-US"/>
        </w:rPr>
        <w:t xml:space="preserve"> A medida deve constar como obrigação contratual e não como exigência de habilitação, pois exigências de habilitação são restritamente as previstas no Capítulo VI do Título II da Lei.</w:t>
      </w:r>
    </w:p>
  </w:comment>
  <w:comment w:id="16" w:author="Autor" w:date="0-00-00T00:00:00Z" w:initials="A">
    <w:p>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 xml:space="preserve">As cláusulas dessa seção são necessárias para cumprimento </w:t>
      </w:r>
      <w:hyperlink r:id="rId4">
        <w:r>
          <w:rPr>
            <w:rFonts w:ascii="Liberation Serif" w:hAnsi="Liberation Serif" w:eastAsia="DejaVu Sans" w:cs="Noto Sans Arabic UI"/>
            <w:i/>
            <w:iCs/>
            <w:color w:val="000000"/>
            <w:lang w:val="en-US" w:eastAsia="en-US" w:bidi="en-US"/>
          </w:rPr>
          <w:t>da Lei nº 13.709, de 14 de agosto de 2018 (LGPD</w:t>
        </w:r>
      </w:hyperlink>
      <w:r>
        <w:rPr>
          <w:rFonts w:ascii="Liberation Serif" w:hAnsi="Liberation Serif" w:eastAsia="DejaVu Sans" w:cs="Noto Sans Arabic UI"/>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DejaVu Sans" w:cs="Noto Sans Arabic UI"/>
          <w:b/>
          <w:bCs/>
          <w:i/>
          <w:iCs/>
          <w:color w:val="000000"/>
          <w:lang w:val="en-US" w:eastAsia="en-US" w:bidi="en-US"/>
        </w:rPr>
        <w:t xml:space="preserve">Nota Explicativa 2: </w:t>
      </w:r>
      <w:r>
        <w:rPr>
          <w:rFonts w:ascii="Liberation Serif" w:hAnsi="Liberation Serif" w:eastAsia="DejaVu Sans" w:cs="Noto Sans Arabic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DejaVu Sans" w:cs="Noto Sans Arabic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DejaVu Sans" w:cs="Noto Sans Arabic UI"/>
          <w:i/>
          <w:iCs/>
          <w:color w:val="000000"/>
          <w:lang w:val="en-US" w:eastAsia="en-US" w:bidi="en-US"/>
        </w:rPr>
        <w:t>O tema deve ser avaliado pela Administração com base nos riscos da contratação em relação aos dados pessoais eventualmente envolvidos.</w:t>
      </w:r>
    </w:p>
  </w:comment>
  <w:comment w:id="17"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8"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Se o Contratante entender oportuno, é possível especificar, nesta cláusula, rotinas ou diligências mais adequadas ao objeto contratual respectivo. </w:t>
      </w:r>
    </w:p>
  </w:comment>
  <w:comment w:id="19" w:author="Autor" w:date="0-00-00T00:00:00Z" w:initials="A">
    <w:p>
      <w:r>
        <w:rPr>
          <w:rFonts w:ascii="Liberation Serif" w:hAnsi="Liberation Serif" w:eastAsia="DejaVu Sans" w:cs="Noto Sans Arabic UI"/>
          <w:b/>
          <w:bCs/>
          <w:i/>
          <w:iCs/>
          <w:color w:val="000000"/>
          <w:lang w:val="en-US" w:eastAsia="en-US" w:bidi="en-US"/>
        </w:rPr>
        <w:t>Nota Explicativa 1</w:t>
      </w:r>
      <w:r>
        <w:rPr>
          <w:rFonts w:ascii="Liberation Serif" w:hAnsi="Liberation Serif" w:eastAsia="DejaVu Sans" w:cs="Noto Sans Arabic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DejaVu Sans" w:cs="Noto Sans Arabic UI"/>
          <w:b/>
          <w:bCs/>
          <w:i/>
          <w:iCs/>
          <w:color w:val="000000"/>
          <w:lang w:val="en-US" w:eastAsia="en-US" w:bidi="en-US"/>
        </w:rPr>
        <w:t>Nota explicativa 2:</w:t>
      </w:r>
      <w:r>
        <w:rPr>
          <w:rFonts w:ascii="Liberation Serif" w:hAnsi="Liberation Serif" w:eastAsia="DejaVu Sans" w:cs="Noto Sans Arabic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0"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Use a redação desse itens  para os contratos de fornecimentos contínuos e de aluguel de equipamentos e à utilização de programas de informática (art. 106, da Lei n.º 14.133, de 2021).</w:t>
      </w:r>
    </w:p>
  </w:comment>
  <w:comment w:id="21"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 xml:space="preserve">A sistemática desses itens decorre do que dispõe o art. 106, III e §1º, da Lei nº 14.133/21. Para a sua compreensão, vale trazer um exemplo: </w:t>
      </w:r>
    </w:p>
    <w:p>
      <w:r>
        <w:rPr>
          <w:rFonts w:ascii="Liberation Serif" w:hAnsi="Liberation Serif" w:eastAsia="DejaVu Sans" w:cs="Noto Sans Arabic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DejaVu Sans" w:cs="Noto Sans Arabic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DejaVu Sans" w:cs="Noto Sans Arabic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DejaVu Sans" w:cs="Noto Sans Arabic UI"/>
          <w:i/>
          <w:iCs/>
          <w:color w:val="000000"/>
          <w:lang w:val="en-US" w:eastAsia="en-US" w:bidi="en-US"/>
        </w:rPr>
        <w:t>3) Por fim, uma comunicação de extinção havida após a data de aniversário só teria efeito no aniversário subsequente, salvo se houver enquadramento na situação “2”.</w:t>
      </w:r>
    </w:p>
  </w:comment>
  <w:comment w:id="22" w:author="Autor" w:date="0-00-00T00:00:00Z" w:initials="A">
    <w:p>
      <w:r>
        <w:rPr>
          <w:rFonts w:ascii="Liberation Serif" w:hAnsi="Liberation Serif" w:eastAsia="DejaVu Sans" w:cs="Noto Sans Arabic UI"/>
          <w:b/>
          <w:i/>
          <w:lang w:val="en-US" w:eastAsia="en-US" w:bidi="en-US"/>
        </w:rPr>
        <w:t>Nota Explicativa</w:t>
      </w:r>
      <w:r>
        <w:rPr>
          <w:rFonts w:ascii="Liberation Serif" w:hAnsi="Liberation Serif" w:eastAsia="DejaVu Sans" w:cs="Noto Sans Arabic UI"/>
          <w:i/>
          <w:lang w:val="en-US" w:eastAsia="en-US" w:bidi="en-US"/>
        </w:rPr>
        <w:t>: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das verbas trabalhistas aos empregados alocados à execução do serviço. Decorrem, ainda, do disposto na Instrução Normativa SEGES/MP nº 5 de 26 de maio de 2017, cuja aplicação foi autorizada pela Instrução Normativa SEGES/ME nº 98, de 26 de dezembro de 2022.</w:t>
      </w:r>
    </w:p>
    <w:p>
      <w:r>
        <w:rPr>
          <w:rFonts w:ascii="Liberation Serif" w:hAnsi="Liberation Serif" w:eastAsia="DejaVu Sans" w:cs="Noto Sans Arabic UI"/>
          <w:lang w:val="en-US" w:eastAsia="en-US" w:bidi="en-US"/>
        </w:rPr>
      </w:r>
    </w:p>
    <w:p>
      <w:r>
        <w:rPr>
          <w:rFonts w:ascii="Liberation Serif" w:hAnsi="Liberation Serif" w:eastAsia="DejaVu Sans" w:cs="Noto Sans Arabic UI"/>
          <w:i/>
          <w:lang w:val="en-US" w:eastAsia="en-US" w:bidi="en-US"/>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23" w:author="Autor" w:date="0-00-00T00:00:00Z" w:initials="A">
    <w:p>
      <w:r>
        <w:rPr>
          <w:rFonts w:ascii="Liberation Serif" w:hAnsi="Liberation Serif" w:eastAsia="DejaVu Sans" w:cs="Noto Sans Arabic UI"/>
          <w:lang w:val="en-US" w:eastAsia="en-US" w:bidi="en-US"/>
        </w:rPr>
        <w:t>Nota Explicativa: A previsão decorre de recomendação nesse sentido constante no Acórdão 1207/2024 - TCU - Plenário, em sede de Consulta formulada pela Ministra de Estado da Gestão e da Inovação em Serviços Públicos:</w:t>
      </w:r>
    </w:p>
    <w:p>
      <w:r>
        <w:rPr>
          <w:rFonts w:ascii="Liberation Serif" w:hAnsi="Liberation Serif" w:eastAsia="DejaVu Sans" w:cs="Noto Sans Arabic UI"/>
          <w:lang w:val="en-US" w:eastAsia="en-US" w:bidi="en-US"/>
        </w:rPr>
      </w:r>
    </w:p>
    <w:p>
      <w:r>
        <w:rPr>
          <w:rFonts w:ascii="Liberation Serif" w:hAnsi="Liberation Serif" w:eastAsia="DejaVu Sans" w:cs="Noto Sans Arabic UI"/>
          <w:lang w:val="en-US" w:eastAsia="en-US" w:bidi="en-US"/>
        </w:rPr>
        <w:t>"9.2.4. constitui motivo para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comment>
  <w:comment w:id="24"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lang w:val="en-US" w:eastAsia="en-US" w:bidi="en-US"/>
        </w:rPr>
        <w:t xml:space="preserve"> 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r>
        <w:rPr>
          <w:rFonts w:ascii="Liberation Serif" w:hAnsi="Liberation Serif" w:eastAsia="DejaVu Sans" w:cs="Noto Sans Arabic UI"/>
          <w:lang w:val="en-US" w:eastAsia="en-US" w:bidi="en-US"/>
        </w:rPr>
        <w:t> </w:t>
      </w:r>
    </w:p>
    <w:p>
      <w:r>
        <w:rPr>
          <w:rFonts w:ascii="Liberation Serif" w:hAnsi="Liberation Serif" w:eastAsia="DejaVu Sans" w:cs="Noto Sans Arabic UI"/>
          <w:lang w:val="en-US" w:eastAsia="en-US" w:bidi="en-US"/>
        </w:rPr>
        <w:t xml:space="preserve">"36. Diante de tudo quanto exposto, conclui-se ser possível a supressão parcial consensual de contrato administrativo em percentual superior àqueles estabelecidos pelo art. 125 da Lei 14.133/2021. </w:t>
      </w:r>
    </w:p>
    <w:p>
      <w:r>
        <w:rPr>
          <w:rFonts w:ascii="Liberation Serif" w:hAnsi="Liberation Serif" w:eastAsia="DejaVu Sans" w:cs="Noto Sans Arabic UI"/>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r>
        <w:rPr>
          <w:rFonts w:ascii="Liberation Serif" w:hAnsi="Liberation Serif" w:eastAsia="DejaVu Sans" w:cs="Noto Sans Arabic UI"/>
          <w:lang w:val="en-US" w:eastAsia="en-US" w:bidi="en-US"/>
        </w:rPr>
        <w:t>38. Sugere-se, ainda, veicular, no edital da licitação, a possibilidade de supressão do contrato administrativo de maneira consensual em percentual superior ao estabelecido no art. 125 da Lei 14.133/2021."</w:t>
      </w:r>
    </w:p>
  </w:comment>
  <w:comment w:id="25"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6"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DejaVu Sans" w:cs="Noto Sans Arabic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DejaVu Sans" w:cs="Noto Sans Arabic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7" w:author="Autor" w:date="0-00-00T00:00:00Z" w:initials="A">
    <w:p>
      <w:r>
        <w:rPr>
          <w:rFonts w:ascii="Liberation Serif" w:hAnsi="Liberation Serif" w:eastAsia="DejaVu Sans" w:cs="Noto Sans Arabic UI"/>
          <w:b/>
          <w:bCs/>
          <w:lang w:val="en-US" w:eastAsia="en-US" w:bidi="en-US"/>
        </w:rPr>
        <w:t>Nota Explicativa</w:t>
      </w:r>
      <w:r>
        <w:rPr>
          <w:rFonts w:ascii="Liberation Serif" w:hAnsi="Liberation Serif" w:eastAsia="DejaVu Sans" w:cs="Noto Sans Arabic UI"/>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DejaVu Sans" w:cs="Noto Sans Arabic UI"/>
          <w:u w:val="single"/>
          <w:lang w:val="en-US" w:eastAsia="en-US" w:bidi="en-US"/>
        </w:rPr>
        <w:t>dispensada a assinatura de testemunhas quando sua integridade for conferida por provedor de assinatura</w:t>
      </w:r>
      <w:r>
        <w:rPr>
          <w:rFonts w:ascii="Liberation Serif" w:hAnsi="Liberation Serif" w:eastAsia="DejaVu Sans" w:cs="Noto Sans Arabic UI"/>
          <w:lang w:val="en-US" w:eastAsia="en-US" w:bidi="en-US"/>
        </w:rPr>
        <w:t>”.</w:t>
      </w:r>
    </w:p>
    <w:p>
      <w:r>
        <w:rPr>
          <w:rFonts w:ascii="Liberation Serif" w:hAnsi="Liberation Serif" w:eastAsia="DejaVu Sans" w:cs="Noto Sans Arabic UI"/>
          <w:lang w:val="en-US" w:eastAsia="en-US" w:bidi="en-US"/>
        </w:rPr>
      </w:r>
    </w:p>
    <w:p>
      <w:r>
        <w:rPr>
          <w:rFonts w:ascii="Liberation Serif" w:hAnsi="Liberation Serif" w:eastAsia="DejaVu Sans" w:cs="Noto Sans Arabic UI"/>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29482407"/>
    </w:sdtPr>
    <w:sdtContent>
      <w:p>
        <w:pPr>
          <w:pStyle w:val="Rodap"/>
          <w:rPr>
            <w:rFonts w:ascii="Arial" w:hAnsi="Arial"/>
            <w:color w:val="548DD4" w:themeColor="text2" w:themeTint="99"/>
            <w:spacing w:val="60"/>
            <w:sz w:val="16"/>
          </w:rPr>
        </w:pPr>
        <w:r>
          <w:rPr>
            <w:rFonts w:ascii="Arial" w:hAnsi="Arial"/>
            <w:color w:val="548DD4" w:themeColor="text2" w:themeTint="99"/>
            <w:spacing w:val="60"/>
            <w:sz w:val="22"/>
          </w:rPr>
          <w:tab/>
          <w:tab/>
        </w:r>
      </w:p>
      <w:p>
        <w:pPr>
          <w:pStyle w:val="Rodap"/>
          <w:rPr>
            <w:rFonts w:ascii="Arial" w:hAnsi="Arial" w:cs="Arial"/>
            <w:color w:val="7F7F7F" w:themeColor="text1" w:themeTint="80"/>
            <w:sz w:val="18"/>
            <w:szCs w:val="18"/>
          </w:rPr>
        </w:pPr>
        <w:r>
          <w:rPr>
            <w:rFonts w:ascii="Arial" w:hAnsi="Arial"/>
            <w:color w:val="7F7F7F" w:themeColor="text1" w:themeTint="80"/>
            <w:spacing w:val="60"/>
            <w:sz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olor w:val="0F243E" w:themeColor="text2" w:themeShade="80"/>
            <w:sz w:val="14"/>
          </w:rPr>
        </w:pPr>
        <w:r>
          <w:rPr>
            <w:rFonts w:cs="Arial" w:ascii="Arial" w:hAnsi="Arial"/>
            <w:sz w:val="14"/>
            <w:szCs w:val="14"/>
          </w:rPr>
          <w:t>Modelo de Termo de Contrato - Licitações - Serviços contínuos com regime de dedicação exclusiva de mão de obra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sz w:val="14"/>
          </w:rPr>
        </w:pPr>
        <w:r>
          <w:rPr>
            <w:rFonts w:cs="Arial" w:ascii="Arial" w:hAnsi="Arial"/>
            <w:sz w:val="14"/>
            <w:szCs w:val="14"/>
          </w:rPr>
          <w:t>Identidade visual pela Secretaria de Gestão e Inovação</w:t>
        </w:r>
      </w:p>
      <w:p>
        <w:pPr>
          <w:pStyle w:val="Rodap"/>
          <w:tabs>
            <w:tab w:val="clear" w:pos="4252"/>
            <w:tab w:val="clear" w:pos="8504"/>
            <w:tab w:val="center" w:pos="4819" w:leader="none"/>
            <w:tab w:val="left" w:pos="5270" w:leader="none"/>
          </w:tabs>
          <w:rPr>
            <w:rFonts w:ascii="Arial" w:hAnsi="Arial"/>
            <w:sz w:val="14"/>
          </w:rPr>
        </w:pPr>
        <w:r>
          <w:rPr>
            <w:rFonts w:cs="Arial" w:ascii="Arial" w:hAnsi="Arial"/>
            <w:sz w:val="14"/>
            <w:szCs w:val="14"/>
          </w:rPr>
          <w:t>Atualização: NOV/2024</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sz w:val="20"/>
      </w:rPr>
    </w:pPr>
    <w:r>
      <w:rPr>
        <w:rFonts w:cs="Arial" w:ascii="Arial" w:hAnsi="Arial"/>
        <w:sz w:val="20"/>
        <w:szCs w:val="20"/>
      </w:rPr>
      <w:t xml:space="preserve">TERMO DE CONTRATO ADMINISTRATIVO Nº </w:t>
    </w:r>
    <w:r>
      <w:rPr>
        <w:rFonts w:cs="Arial" w:ascii="Arial" w:hAnsi="Arial"/>
        <w:i w:val="false"/>
        <w:iCs w:val="false"/>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color w:val="FFFFFF"/>
      </w:rPr>
    </w:lvl>
    <w:lvl w:ilvl="1">
      <w:start w:val="1"/>
      <w:numFmt w:val="decimal"/>
      <w:lvlText w:val="%1.%2."/>
      <w:lvlJc w:val="left"/>
      <w:pPr>
        <w:tabs>
          <w:tab w:val="num" w:pos="0"/>
        </w:tabs>
        <w:ind w:left="1283" w:hanging="432"/>
      </w:pPr>
      <w:rPr>
        <w:dstrike w:val="false"/>
        <w:strike w:val="false"/>
        <w:sz w:val="24"/>
        <w:i w:val="false"/>
        <w:u w:val="none"/>
        <w:b/>
        <w:szCs w:val="24"/>
        <w:rFonts w:ascii="Calibri" w:hAnsi="Calibri"/>
        <w:color w:val="auto"/>
      </w:rPr>
    </w:lvl>
    <w:lvl w:ilvl="2">
      <w:start w:val="1"/>
      <w:numFmt w:val="decimal"/>
      <w:lvlText w:val="%1.%2.%3."/>
      <w:lvlJc w:val="left"/>
      <w:pPr>
        <w:tabs>
          <w:tab w:val="num" w:pos="0"/>
        </w:tabs>
        <w:ind w:left="3198" w:hanging="504"/>
      </w:pPr>
      <w:rPr>
        <w:dstrike w:val="false"/>
        <w:strike w:val="false"/>
        <w:sz w:val="24"/>
        <w:i w:val="false"/>
        <w:b w:val="false"/>
        <w:szCs w:val="24"/>
        <w:rFonts w:ascii="Calibri" w:hAnsi="Calibri"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0923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RedChar" w:customStyle="1">
    <w:name w:val="Nível 1-Red Char"/>
    <w:basedOn w:val="Nivel01Char"/>
    <w:link w:val="Nvel1-Red"/>
    <w:qFormat/>
    <w:rsid w:val="007c4a90"/>
    <w:rPr>
      <w:rFonts w:ascii="Arial" w:hAnsi="Arial" w:eastAsia="ＭＳ ゴシック" w:cs="Arial" w:eastAsiaTheme="majorEastAsia"/>
      <w:b/>
      <w:bCs/>
      <w:i/>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02Char" w:customStyle="1">
    <w:name w:val="Nível 02 Char"/>
    <w:basedOn w:val="DefaultParagraphFont"/>
    <w:link w:val="Nvel02"/>
    <w:qFormat/>
    <w:rsid w:val="009a19d0"/>
    <w:rPr>
      <w:rFonts w:ascii="Arial" w:hAnsi="Arial" w:eastAsia="Arial" w:cs="Arial"/>
      <w:iCs/>
      <w:lang w:eastAsia="pt-BR"/>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092390"/>
    <w:pPr>
      <w:tabs>
        <w:tab w:val="clear" w:pos="708"/>
        <w:tab w:val="left" w:pos="0" w:leader="none"/>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6374b"/>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d44edf"/>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44edf"/>
    <w:pPr>
      <w:spacing w:lineRule="auto" w:line="259" w:before="60" w:after="60"/>
      <w:ind w:left="0" w:hanging="0"/>
      <w:contextualSpacing/>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d44edf"/>
    <w:pPr/>
    <w:rPr>
      <w:i/>
      <w:iCs/>
      <w:color w:val="FF0000"/>
    </w:rPr>
  </w:style>
  <w:style w:type="paragraph" w:styleId="Nvel1Red" w:customStyle="1">
    <w:name w:val="Nível 1-Red"/>
    <w:basedOn w:val="Nivel01"/>
    <w:link w:val="Nvel1-RedChar"/>
    <w:qFormat/>
    <w:rsid w:val="007c4a90"/>
    <w:pPr>
      <w:tabs>
        <w:tab w:val="clear" w:pos="567"/>
        <w:tab w:val="left" w:pos="0" w:leader="none"/>
      </w:tabs>
      <w:ind w:left="-426" w:hanging="0"/>
    </w:pPr>
    <w:rPr>
      <w:i/>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Nivel2Opcional" w:customStyle="1">
    <w:name w:val="Nivel 2-Opcional"/>
    <w:basedOn w:val="Normal"/>
    <w:autoRedefine/>
    <w:qFormat/>
    <w:rsid w:val="009a19d0"/>
    <w:pPr>
      <w:shd w:val="clear" w:color="auto" w:fill="76923C" w:themeFill="accent3" w:themeFillShade="bf"/>
      <w:spacing w:lineRule="auto" w:line="276" w:before="120" w:after="120"/>
      <w:jc w:val="both"/>
    </w:pPr>
    <w:rPr>
      <w:rFonts w:ascii="Arial" w:hAnsi="Arial" w:eastAsia="Arial" w:cs="Arial"/>
      <w:i/>
      <w:color w:val="FF0000"/>
      <w:sz w:val="20"/>
      <w:szCs w:val="20"/>
    </w:rPr>
  </w:style>
  <w:style w:type="paragraph" w:styleId="Nvel02" w:customStyle="1">
    <w:name w:val="Nível 02"/>
    <w:basedOn w:val="Nivel2Opcional"/>
    <w:link w:val="Nvel02Char"/>
    <w:autoRedefine/>
    <w:qFormat/>
    <w:rsid w:val="009a19d0"/>
    <w:pPr>
      <w:shd w:val="clear" w:color="auto" w:fill="auto"/>
    </w:pPr>
    <w:rPr>
      <w:i w:val="false"/>
      <w:iCs/>
      <w:color w:val="auto"/>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Relationship Id="rId2" Type="http://schemas.openxmlformats.org/officeDocument/2006/relationships/hyperlink" Target="http://www.planalto.gov.br/ccivil_03/leis/lcp/lcp116.htm" TargetMode="External"/><Relationship Id="rId3" Type="http://schemas.openxmlformats.org/officeDocument/2006/relationships/hyperlink" Target="https://www.planalto.gov.br/ccivil_03/_ato2004-2006/2004/lei/l10.973.htm" TargetMode="External"/><Relationship Id="rId4"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2" ma:contentTypeDescription="Create a new document." ma:contentTypeScope="" ma:versionID="6fda4939e1c1ea404d242e23ba31c605">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d1eec092522b8e8dda17c01b59554582"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850F3-4C34-4778-A377-61D6EBC51477}"/>
</file>

<file path=customXml/itemProps2.xml><?xml version="1.0" encoding="utf-8"?>
<ds:datastoreItem xmlns:ds="http://schemas.openxmlformats.org/officeDocument/2006/customXml" ds:itemID="{D7E68FD3-ACFA-4394-B78E-397F9EFB9CC8}"/>
</file>

<file path=customXml/itemProps3.xml><?xml version="1.0" encoding="utf-8"?>
<ds:datastoreItem xmlns:ds="http://schemas.openxmlformats.org/officeDocument/2006/customXml" ds:itemID="{848123C9-D1D3-4CCB-821D-C79FB508B59C}"/>
</file>

<file path=docProps/app.xml><?xml version="1.0" encoding="utf-8"?>
<Properties xmlns="http://schemas.openxmlformats.org/officeDocument/2006/extended-properties" xmlns:vt="http://schemas.openxmlformats.org/officeDocument/2006/docPropsVTypes">
  <Template>Normal</Template>
  <TotalTime>33</TotalTime>
  <Application>LibreOffice/6.4.7.2$Linux_X86_64 LibreOffice_project/40$Build-2</Application>
  <Pages>12</Pages>
  <Words>5435</Words>
  <Characters>30909</Characters>
  <CharactersWithSpaces>35964</CharactersWithSpaces>
  <Paragraphs>234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2024-11-12T17:13:00Z</dcterms:created>
  <dc:creator/>
  <dc:description/>
  <dc:language>pt-BR</dc:language>
  <cp:lastModifiedBy/>
  <dcterms:modified xsi:type="dcterms:W3CDTF">2025-04-02T13:54:12Z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